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7E145" w14:textId="77777777" w:rsidR="00EA16CA" w:rsidRDefault="00EA16CA" w:rsidP="00EA16CA">
      <w:pPr>
        <w:ind w:left="5040" w:firstLine="720"/>
        <w:jc w:val="center"/>
        <w:rPr>
          <w:sz w:val="24"/>
          <w:szCs w:val="24"/>
        </w:rPr>
      </w:pPr>
      <w:r>
        <w:rPr>
          <w:rFonts w:ascii="Montserrat-SemiBold" w:eastAsia="Montserrat-SemiBold" w:hAnsi="Montserrat-SemiBold" w:cs="Montserrat-SemiBold"/>
          <w:b/>
          <w:bCs/>
          <w:noProof/>
          <w:sz w:val="23"/>
          <w:szCs w:val="23"/>
          <w:lang w:eastAsia="en-GB"/>
        </w:rPr>
        <w:drawing>
          <wp:inline distT="0" distB="0" distL="0" distR="0" wp14:anchorId="5017E19E" wp14:editId="5017E19F">
            <wp:extent cx="2057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Star-logo-STRAP-COLOUR.jpg"/>
                    <pic:cNvPicPr/>
                  </pic:nvPicPr>
                  <pic:blipFill>
                    <a:blip r:embed="rId8">
                      <a:extLst>
                        <a:ext uri="{28A0092B-C50C-407E-A947-70E740481C1C}">
                          <a14:useLocalDpi xmlns:a14="http://schemas.microsoft.com/office/drawing/2010/main" val="0"/>
                        </a:ext>
                      </a:extLst>
                    </a:blip>
                    <a:stretch>
                      <a:fillRect/>
                    </a:stretch>
                  </pic:blipFill>
                  <pic:spPr>
                    <a:xfrm>
                      <a:off x="0" y="0"/>
                      <a:ext cx="2057400" cy="609600"/>
                    </a:xfrm>
                    <a:prstGeom prst="rect">
                      <a:avLst/>
                    </a:prstGeom>
                  </pic:spPr>
                </pic:pic>
              </a:graphicData>
            </a:graphic>
          </wp:inline>
        </w:drawing>
      </w:r>
    </w:p>
    <w:p w14:paraId="5017E146" w14:textId="3D077DE8" w:rsidR="00EA16CA" w:rsidRPr="00EC03EA" w:rsidRDefault="005D6B5D" w:rsidP="00607853">
      <w:pPr>
        <w:tabs>
          <w:tab w:val="left" w:pos="2610"/>
        </w:tabs>
        <w:spacing w:line="247" w:lineRule="auto"/>
        <w:ind w:right="78"/>
        <w:jc w:val="center"/>
        <w:rPr>
          <w:rFonts w:ascii="Montserrat" w:eastAsia="Hero" w:hAnsi="Montserrat" w:cs="Hero"/>
          <w:b/>
          <w:color w:val="1BAEE5"/>
          <w:sz w:val="32"/>
          <w:szCs w:val="32"/>
        </w:rPr>
      </w:pPr>
      <w:r>
        <w:rPr>
          <w:rFonts w:ascii="Montserrat" w:eastAsia="Hero" w:hAnsi="Montserrat" w:cs="Hero"/>
          <w:b/>
          <w:color w:val="1BAEE5"/>
          <w:sz w:val="32"/>
          <w:szCs w:val="32"/>
        </w:rPr>
        <w:t>Performance as at</w:t>
      </w:r>
      <w:r w:rsidR="00082CEB">
        <w:rPr>
          <w:rFonts w:ascii="Montserrat" w:eastAsia="Hero" w:hAnsi="Montserrat" w:cs="Hero"/>
          <w:b/>
          <w:color w:val="1BAEE5"/>
          <w:sz w:val="32"/>
          <w:szCs w:val="32"/>
        </w:rPr>
        <w:t xml:space="preserve"> </w:t>
      </w:r>
      <w:r w:rsidR="00240ACA">
        <w:rPr>
          <w:rFonts w:ascii="Montserrat" w:eastAsia="Hero" w:hAnsi="Montserrat" w:cs="Hero"/>
          <w:b/>
          <w:color w:val="1BAEE5"/>
          <w:sz w:val="32"/>
          <w:szCs w:val="32"/>
        </w:rPr>
        <w:t>August</w:t>
      </w:r>
      <w:r w:rsidR="00607853">
        <w:rPr>
          <w:rFonts w:ascii="Montserrat" w:eastAsia="Hero" w:hAnsi="Montserrat" w:cs="Hero"/>
          <w:b/>
          <w:color w:val="1BAEE5"/>
          <w:sz w:val="32"/>
          <w:szCs w:val="32"/>
        </w:rPr>
        <w:t xml:space="preserve"> 202</w:t>
      </w:r>
      <w:r w:rsidR="009A6F5D">
        <w:rPr>
          <w:rFonts w:ascii="Montserrat" w:eastAsia="Hero" w:hAnsi="Montserrat" w:cs="Hero"/>
          <w:b/>
          <w:color w:val="1BAEE5"/>
          <w:sz w:val="32"/>
          <w:szCs w:val="32"/>
        </w:rPr>
        <w:t>2</w:t>
      </w:r>
    </w:p>
    <w:tbl>
      <w:tblPr>
        <w:tblStyle w:val="TableGrid"/>
        <w:tblW w:w="0" w:type="auto"/>
        <w:tblLook w:val="04A0" w:firstRow="1" w:lastRow="0" w:firstColumn="1" w:lastColumn="0" w:noHBand="0" w:noVBand="1"/>
      </w:tblPr>
      <w:tblGrid>
        <w:gridCol w:w="4757"/>
        <w:gridCol w:w="1121"/>
        <w:gridCol w:w="1828"/>
        <w:gridCol w:w="1310"/>
      </w:tblGrid>
      <w:tr w:rsidR="00EA16CA" w14:paraId="5017E148" w14:textId="77777777" w:rsidTr="00B5397D">
        <w:tc>
          <w:tcPr>
            <w:tcW w:w="9016" w:type="dxa"/>
            <w:gridSpan w:val="4"/>
            <w:shd w:val="clear" w:color="auto" w:fill="00B0F0"/>
          </w:tcPr>
          <w:p w14:paraId="5017E147" w14:textId="77777777" w:rsidR="00EA16CA" w:rsidRPr="00EA16CA" w:rsidRDefault="00C94851" w:rsidP="00EA16CA">
            <w:pPr>
              <w:jc w:val="center"/>
              <w:rPr>
                <w:b/>
                <w:sz w:val="28"/>
                <w:szCs w:val="28"/>
              </w:rPr>
            </w:pPr>
            <w:r>
              <w:rPr>
                <w:b/>
                <w:color w:val="FFFFFF" w:themeColor="background1"/>
                <w:sz w:val="28"/>
                <w:szCs w:val="28"/>
              </w:rPr>
              <w:t xml:space="preserve">Delivering </w:t>
            </w:r>
            <w:r w:rsidR="00EA16CA" w:rsidRPr="00EA16CA">
              <w:rPr>
                <w:b/>
                <w:color w:val="FFFFFF" w:themeColor="background1"/>
                <w:sz w:val="28"/>
                <w:szCs w:val="28"/>
              </w:rPr>
              <w:t>Maintenance Service</w:t>
            </w:r>
          </w:p>
        </w:tc>
      </w:tr>
      <w:tr w:rsidR="00EA16CA" w14:paraId="5017E14D" w14:textId="77777777" w:rsidTr="00B5397D">
        <w:tc>
          <w:tcPr>
            <w:tcW w:w="4757" w:type="dxa"/>
            <w:shd w:val="clear" w:color="auto" w:fill="A3DEF4" w:themeFill="accent2" w:themeFillTint="66"/>
          </w:tcPr>
          <w:p w14:paraId="5017E149" w14:textId="77777777" w:rsidR="00EA16CA" w:rsidRPr="00EC03EA" w:rsidRDefault="00EA16CA" w:rsidP="00EA16CA">
            <w:pPr>
              <w:rPr>
                <w:b/>
                <w:sz w:val="20"/>
                <w:szCs w:val="20"/>
              </w:rPr>
            </w:pPr>
            <w:r w:rsidRPr="00EC03EA">
              <w:rPr>
                <w:b/>
                <w:sz w:val="20"/>
                <w:szCs w:val="20"/>
              </w:rPr>
              <w:t>Indicator</w:t>
            </w:r>
          </w:p>
        </w:tc>
        <w:tc>
          <w:tcPr>
            <w:tcW w:w="1121" w:type="dxa"/>
            <w:shd w:val="clear" w:color="auto" w:fill="A3DEF4" w:themeFill="accent2" w:themeFillTint="66"/>
          </w:tcPr>
          <w:p w14:paraId="5017E14A" w14:textId="77777777" w:rsidR="00EA16CA" w:rsidRPr="00EC03EA" w:rsidRDefault="00EA16CA" w:rsidP="00EA16CA">
            <w:pPr>
              <w:jc w:val="center"/>
              <w:rPr>
                <w:b/>
                <w:sz w:val="20"/>
                <w:szCs w:val="20"/>
              </w:rPr>
            </w:pPr>
            <w:r w:rsidRPr="00EC03EA">
              <w:rPr>
                <w:b/>
                <w:sz w:val="20"/>
                <w:szCs w:val="20"/>
              </w:rPr>
              <w:t>Target</w:t>
            </w:r>
          </w:p>
        </w:tc>
        <w:tc>
          <w:tcPr>
            <w:tcW w:w="1828" w:type="dxa"/>
            <w:shd w:val="clear" w:color="auto" w:fill="A3DEF4" w:themeFill="accent2" w:themeFillTint="66"/>
          </w:tcPr>
          <w:p w14:paraId="5017E14B" w14:textId="77777777" w:rsidR="00EA16CA" w:rsidRPr="00EC03EA" w:rsidRDefault="00EA16CA" w:rsidP="00EA16CA">
            <w:pPr>
              <w:jc w:val="center"/>
              <w:rPr>
                <w:b/>
                <w:sz w:val="20"/>
                <w:szCs w:val="20"/>
              </w:rPr>
            </w:pPr>
            <w:r w:rsidRPr="00EC03EA">
              <w:rPr>
                <w:b/>
                <w:sz w:val="20"/>
                <w:szCs w:val="20"/>
              </w:rPr>
              <w:t>Performance</w:t>
            </w:r>
          </w:p>
        </w:tc>
        <w:tc>
          <w:tcPr>
            <w:tcW w:w="1310" w:type="dxa"/>
            <w:shd w:val="clear" w:color="auto" w:fill="A3DEF4" w:themeFill="accent2" w:themeFillTint="66"/>
          </w:tcPr>
          <w:p w14:paraId="5017E14C" w14:textId="77777777" w:rsidR="00EA16CA" w:rsidRPr="00EC03EA" w:rsidRDefault="00EA16CA" w:rsidP="00EA16CA">
            <w:pPr>
              <w:jc w:val="center"/>
              <w:rPr>
                <w:b/>
                <w:sz w:val="20"/>
                <w:szCs w:val="20"/>
              </w:rPr>
            </w:pPr>
            <w:r w:rsidRPr="00EC03EA">
              <w:rPr>
                <w:b/>
                <w:sz w:val="20"/>
                <w:szCs w:val="20"/>
              </w:rPr>
              <w:t>How are we doing</w:t>
            </w:r>
          </w:p>
        </w:tc>
      </w:tr>
      <w:tr w:rsidR="00454E09" w14:paraId="5017E15C" w14:textId="77777777" w:rsidTr="00BE0199">
        <w:trPr>
          <w:trHeight w:val="481"/>
        </w:trPr>
        <w:tc>
          <w:tcPr>
            <w:tcW w:w="4757" w:type="dxa"/>
          </w:tcPr>
          <w:p w14:paraId="5017E158" w14:textId="77777777" w:rsidR="00454E09" w:rsidRPr="00EC03EA" w:rsidRDefault="00454E09" w:rsidP="00EA16CA">
            <w:pPr>
              <w:rPr>
                <w:sz w:val="20"/>
                <w:szCs w:val="20"/>
              </w:rPr>
            </w:pPr>
            <w:r w:rsidRPr="00EC03EA">
              <w:rPr>
                <w:sz w:val="20"/>
                <w:szCs w:val="20"/>
              </w:rPr>
              <w:t>% of homes with a valid gas safety certificate</w:t>
            </w:r>
          </w:p>
        </w:tc>
        <w:tc>
          <w:tcPr>
            <w:tcW w:w="1121" w:type="dxa"/>
          </w:tcPr>
          <w:p w14:paraId="5017E159" w14:textId="77777777" w:rsidR="00454E09" w:rsidRPr="00EC03EA" w:rsidRDefault="00454E09" w:rsidP="00EA16CA">
            <w:pPr>
              <w:jc w:val="center"/>
              <w:rPr>
                <w:sz w:val="20"/>
                <w:szCs w:val="20"/>
              </w:rPr>
            </w:pPr>
            <w:r w:rsidRPr="00EC03EA">
              <w:rPr>
                <w:sz w:val="20"/>
                <w:szCs w:val="20"/>
              </w:rPr>
              <w:t>100%</w:t>
            </w:r>
          </w:p>
        </w:tc>
        <w:tc>
          <w:tcPr>
            <w:tcW w:w="1828" w:type="dxa"/>
          </w:tcPr>
          <w:p w14:paraId="5017E15A" w14:textId="33EE069A" w:rsidR="00454E09" w:rsidRPr="00EC03EA" w:rsidRDefault="00494B92" w:rsidP="00EA16CA">
            <w:pPr>
              <w:jc w:val="center"/>
              <w:rPr>
                <w:sz w:val="20"/>
                <w:szCs w:val="20"/>
              </w:rPr>
            </w:pPr>
            <w:r>
              <w:rPr>
                <w:sz w:val="20"/>
                <w:szCs w:val="20"/>
              </w:rPr>
              <w:t>99.97%</w:t>
            </w:r>
          </w:p>
        </w:tc>
        <w:tc>
          <w:tcPr>
            <w:tcW w:w="1310" w:type="dxa"/>
          </w:tcPr>
          <w:p w14:paraId="5017E15B" w14:textId="202AC603" w:rsidR="00454E09" w:rsidRPr="00EC03EA" w:rsidRDefault="00494B92" w:rsidP="00EA16CA">
            <w:pPr>
              <w:jc w:val="center"/>
              <w:rPr>
                <w:sz w:val="20"/>
                <w:szCs w:val="20"/>
              </w:rPr>
            </w:pPr>
            <w:r w:rsidRPr="00EC03EA">
              <w:rPr>
                <w:rFonts w:ascii="Montserrat" w:hAnsi="Montserrat"/>
                <w:b/>
                <w:noProof/>
                <w:sz w:val="20"/>
                <w:szCs w:val="20"/>
                <w:lang w:eastAsia="en-GB"/>
              </w:rPr>
              <w:drawing>
                <wp:inline distT="0" distB="0" distL="0" distR="0" wp14:anchorId="23FB1C0F" wp14:editId="7370436A">
                  <wp:extent cx="321468" cy="2571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102" cy="264082"/>
                          </a:xfrm>
                          <a:prstGeom prst="rect">
                            <a:avLst/>
                          </a:prstGeom>
                          <a:noFill/>
                        </pic:spPr>
                      </pic:pic>
                    </a:graphicData>
                  </a:graphic>
                </wp:inline>
              </w:drawing>
            </w:r>
          </w:p>
        </w:tc>
      </w:tr>
      <w:tr w:rsidR="00FD11DA" w14:paraId="36197E3C" w14:textId="77777777" w:rsidTr="00BE0199">
        <w:trPr>
          <w:trHeight w:val="481"/>
        </w:trPr>
        <w:tc>
          <w:tcPr>
            <w:tcW w:w="4757" w:type="dxa"/>
          </w:tcPr>
          <w:p w14:paraId="01E086E8" w14:textId="7BDD0340" w:rsidR="00FD11DA" w:rsidRPr="00EC03EA" w:rsidRDefault="00FD11DA" w:rsidP="00FD11DA">
            <w:pPr>
              <w:rPr>
                <w:sz w:val="20"/>
                <w:szCs w:val="20"/>
              </w:rPr>
            </w:pPr>
            <w:r w:rsidRPr="00EC03EA">
              <w:rPr>
                <w:sz w:val="20"/>
                <w:szCs w:val="20"/>
              </w:rPr>
              <w:t>% Tenant satisfaction</w:t>
            </w:r>
            <w:r>
              <w:rPr>
                <w:sz w:val="20"/>
                <w:szCs w:val="20"/>
              </w:rPr>
              <w:t xml:space="preserve"> with repair</w:t>
            </w:r>
          </w:p>
        </w:tc>
        <w:tc>
          <w:tcPr>
            <w:tcW w:w="1121" w:type="dxa"/>
          </w:tcPr>
          <w:p w14:paraId="1DA41EF1" w14:textId="61C53E0E" w:rsidR="00FD11DA" w:rsidRPr="00EC03EA" w:rsidRDefault="00FD11DA" w:rsidP="00FD11DA">
            <w:pPr>
              <w:jc w:val="center"/>
              <w:rPr>
                <w:sz w:val="20"/>
                <w:szCs w:val="20"/>
              </w:rPr>
            </w:pPr>
            <w:r w:rsidRPr="00EC03EA">
              <w:rPr>
                <w:sz w:val="20"/>
                <w:szCs w:val="20"/>
              </w:rPr>
              <w:t>92%</w:t>
            </w:r>
          </w:p>
        </w:tc>
        <w:tc>
          <w:tcPr>
            <w:tcW w:w="1828" w:type="dxa"/>
          </w:tcPr>
          <w:p w14:paraId="3C43C0EC" w14:textId="3A06A27B" w:rsidR="00FD11DA" w:rsidRDefault="00494B92" w:rsidP="00FD11DA">
            <w:pPr>
              <w:jc w:val="center"/>
              <w:rPr>
                <w:sz w:val="20"/>
                <w:szCs w:val="20"/>
              </w:rPr>
            </w:pPr>
            <w:r>
              <w:rPr>
                <w:sz w:val="20"/>
                <w:szCs w:val="20"/>
              </w:rPr>
              <w:t>88.1%</w:t>
            </w:r>
          </w:p>
        </w:tc>
        <w:tc>
          <w:tcPr>
            <w:tcW w:w="1310" w:type="dxa"/>
          </w:tcPr>
          <w:p w14:paraId="0E4CDF26" w14:textId="34D71CCA" w:rsidR="00FD11DA" w:rsidRPr="00EC03EA" w:rsidRDefault="00494B92" w:rsidP="00FD11DA">
            <w:pPr>
              <w:jc w:val="center"/>
              <w:rPr>
                <w:rFonts w:ascii="Montserrat" w:hAnsi="Montserrat"/>
                <w:b/>
                <w:noProof/>
                <w:sz w:val="20"/>
                <w:szCs w:val="20"/>
                <w:lang w:eastAsia="en-GB"/>
              </w:rPr>
            </w:pPr>
            <w:r w:rsidRPr="00EC03EA">
              <w:rPr>
                <w:rFonts w:ascii="Montserrat" w:hAnsi="Montserrat"/>
                <w:b/>
                <w:noProof/>
                <w:sz w:val="20"/>
                <w:szCs w:val="20"/>
                <w:lang w:eastAsia="en-GB"/>
              </w:rPr>
              <w:drawing>
                <wp:inline distT="0" distB="0" distL="0" distR="0" wp14:anchorId="3B783EC9" wp14:editId="0F0D70DA">
                  <wp:extent cx="321468" cy="25717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102" cy="264082"/>
                          </a:xfrm>
                          <a:prstGeom prst="rect">
                            <a:avLst/>
                          </a:prstGeom>
                          <a:noFill/>
                        </pic:spPr>
                      </pic:pic>
                    </a:graphicData>
                  </a:graphic>
                </wp:inline>
              </w:drawing>
            </w:r>
          </w:p>
        </w:tc>
      </w:tr>
      <w:tr w:rsidR="00494B92" w14:paraId="3122DD89" w14:textId="77777777" w:rsidTr="00607CB6">
        <w:trPr>
          <w:trHeight w:val="481"/>
        </w:trPr>
        <w:tc>
          <w:tcPr>
            <w:tcW w:w="9016" w:type="dxa"/>
            <w:gridSpan w:val="4"/>
          </w:tcPr>
          <w:p w14:paraId="02CA3A0F" w14:textId="4A72932A" w:rsidR="00494B92" w:rsidRPr="00494B92" w:rsidRDefault="00494B92" w:rsidP="00494B92">
            <w:pPr>
              <w:rPr>
                <w:rFonts w:ascii="Montserrat" w:hAnsi="Montserrat"/>
                <w:b/>
                <w:bCs/>
                <w:noProof/>
                <w:sz w:val="20"/>
                <w:szCs w:val="20"/>
                <w:lang w:eastAsia="en-GB"/>
              </w:rPr>
            </w:pPr>
            <w:r w:rsidRPr="00494B92">
              <w:rPr>
                <w:rFonts w:ascii="Montserrat" w:hAnsi="Montserrat"/>
                <w:b/>
                <w:bCs/>
                <w:noProof/>
                <w:sz w:val="20"/>
                <w:szCs w:val="20"/>
                <w:lang w:eastAsia="en-GB"/>
              </w:rPr>
              <w:t>Homes with gas safety certificate</w:t>
            </w:r>
          </w:p>
          <w:p w14:paraId="3D7011F5" w14:textId="3DD80DE9" w:rsidR="006901CC" w:rsidRPr="006901CC" w:rsidRDefault="006901CC" w:rsidP="006901CC">
            <w:pPr>
              <w:rPr>
                <w:rFonts w:ascii="Montserrat" w:hAnsi="Montserrat"/>
                <w:noProof/>
                <w:sz w:val="20"/>
                <w:szCs w:val="20"/>
                <w:lang w:eastAsia="en-GB"/>
              </w:rPr>
            </w:pPr>
            <w:r w:rsidRPr="006901CC">
              <w:rPr>
                <w:rFonts w:ascii="Montserrat" w:hAnsi="Montserrat"/>
                <w:noProof/>
                <w:sz w:val="20"/>
                <w:szCs w:val="20"/>
                <w:lang w:eastAsia="en-GB"/>
              </w:rPr>
              <w:t>One property ha</w:t>
            </w:r>
            <w:r>
              <w:rPr>
                <w:rFonts w:ascii="Montserrat" w:hAnsi="Montserrat"/>
                <w:noProof/>
                <w:sz w:val="20"/>
                <w:szCs w:val="20"/>
                <w:lang w:eastAsia="en-GB"/>
              </w:rPr>
              <w:t>d</w:t>
            </w:r>
            <w:r w:rsidRPr="006901CC">
              <w:rPr>
                <w:rFonts w:ascii="Montserrat" w:hAnsi="Montserrat"/>
                <w:noProof/>
                <w:sz w:val="20"/>
                <w:szCs w:val="20"/>
                <w:lang w:eastAsia="en-GB"/>
              </w:rPr>
              <w:t xml:space="preserve"> a gas service outside of our 12 monthy target at the end of August. This service was compelted on the </w:t>
            </w:r>
            <w:r w:rsidR="004F58D5">
              <w:rPr>
                <w:rFonts w:ascii="Montserrat" w:hAnsi="Montserrat"/>
                <w:noProof/>
                <w:sz w:val="20"/>
                <w:szCs w:val="20"/>
                <w:lang w:eastAsia="en-GB"/>
              </w:rPr>
              <w:t>15</w:t>
            </w:r>
            <w:r w:rsidR="004F58D5" w:rsidRPr="004F58D5">
              <w:rPr>
                <w:rFonts w:ascii="Montserrat" w:hAnsi="Montserrat"/>
                <w:noProof/>
                <w:sz w:val="20"/>
                <w:szCs w:val="20"/>
                <w:vertAlign w:val="superscript"/>
                <w:lang w:eastAsia="en-GB"/>
              </w:rPr>
              <w:t>th</w:t>
            </w:r>
            <w:r w:rsidR="004F58D5">
              <w:rPr>
                <w:rFonts w:ascii="Montserrat" w:hAnsi="Montserrat"/>
                <w:noProof/>
                <w:sz w:val="20"/>
                <w:szCs w:val="20"/>
                <w:lang w:eastAsia="en-GB"/>
              </w:rPr>
              <w:t xml:space="preserve"> September.</w:t>
            </w:r>
          </w:p>
          <w:p w14:paraId="2FB57ED7" w14:textId="77777777" w:rsidR="00494B92" w:rsidRDefault="00494B92" w:rsidP="003C42E1">
            <w:pPr>
              <w:rPr>
                <w:rFonts w:ascii="Montserrat" w:hAnsi="Montserrat"/>
                <w:noProof/>
                <w:sz w:val="20"/>
                <w:szCs w:val="20"/>
                <w:lang w:eastAsia="en-GB"/>
              </w:rPr>
            </w:pPr>
          </w:p>
          <w:p w14:paraId="1F575F34" w14:textId="45C8FF26" w:rsidR="00494B92" w:rsidRPr="00494B92" w:rsidRDefault="00494B92" w:rsidP="00494B92">
            <w:pPr>
              <w:rPr>
                <w:rFonts w:ascii="Montserrat" w:hAnsi="Montserrat"/>
                <w:b/>
                <w:bCs/>
                <w:noProof/>
                <w:sz w:val="20"/>
                <w:szCs w:val="20"/>
                <w:lang w:eastAsia="en-GB"/>
              </w:rPr>
            </w:pPr>
            <w:r w:rsidRPr="00494B92">
              <w:rPr>
                <w:rFonts w:ascii="Montserrat" w:hAnsi="Montserrat"/>
                <w:b/>
                <w:bCs/>
                <w:noProof/>
                <w:sz w:val="20"/>
                <w:szCs w:val="20"/>
                <w:lang w:eastAsia="en-GB"/>
              </w:rPr>
              <w:t>Tenant satisfaction with repair</w:t>
            </w:r>
          </w:p>
          <w:p w14:paraId="33F0C2C2" w14:textId="77777777" w:rsidR="003C42E1" w:rsidRPr="004D34E9" w:rsidRDefault="003C42E1" w:rsidP="003C42E1">
            <w:pPr>
              <w:rPr>
                <w:rFonts w:ascii="Montserrat" w:hAnsi="Montserrat"/>
                <w:bCs/>
                <w:sz w:val="20"/>
                <w:szCs w:val="20"/>
              </w:rPr>
            </w:pPr>
            <w:r>
              <w:rPr>
                <w:rFonts w:ascii="Montserrat" w:hAnsi="Montserrat"/>
                <w:bCs/>
                <w:sz w:val="20"/>
                <w:szCs w:val="20"/>
              </w:rPr>
              <w:t>13 of the 105 customer surveyed were unhappy with their most recent repair. 12 of those giving negative feedback were linked to Esh with poor communication (5) and repair not fully complete (4) the most common feedback. All customers have been contacted and actions agreed to ensure their issues have been fully resolved.</w:t>
            </w:r>
          </w:p>
          <w:p w14:paraId="5A5605A1" w14:textId="60CFCF7A" w:rsidR="00494B92" w:rsidRPr="008C510E" w:rsidRDefault="00494B92" w:rsidP="003C42E1">
            <w:pPr>
              <w:rPr>
                <w:rFonts w:ascii="Montserrat" w:hAnsi="Montserrat"/>
                <w:noProof/>
                <w:sz w:val="20"/>
                <w:szCs w:val="20"/>
                <w:lang w:eastAsia="en-GB"/>
              </w:rPr>
            </w:pPr>
          </w:p>
        </w:tc>
      </w:tr>
    </w:tbl>
    <w:p w14:paraId="5017E168" w14:textId="77777777" w:rsidR="00C94851" w:rsidRDefault="00C94851" w:rsidP="00C94851">
      <w:pPr>
        <w:rPr>
          <w:sz w:val="24"/>
          <w:szCs w:val="24"/>
        </w:rPr>
      </w:pPr>
    </w:p>
    <w:tbl>
      <w:tblPr>
        <w:tblStyle w:val="TableGrid"/>
        <w:tblW w:w="0" w:type="auto"/>
        <w:tblLook w:val="04A0" w:firstRow="1" w:lastRow="0" w:firstColumn="1" w:lastColumn="0" w:noHBand="0" w:noVBand="1"/>
      </w:tblPr>
      <w:tblGrid>
        <w:gridCol w:w="4743"/>
        <w:gridCol w:w="1125"/>
        <w:gridCol w:w="1835"/>
        <w:gridCol w:w="1313"/>
      </w:tblGrid>
      <w:tr w:rsidR="00C94851" w:rsidRPr="00EA16CA" w14:paraId="5017E16A" w14:textId="77777777" w:rsidTr="005303C2">
        <w:tc>
          <w:tcPr>
            <w:tcW w:w="9016" w:type="dxa"/>
            <w:gridSpan w:val="4"/>
            <w:shd w:val="clear" w:color="auto" w:fill="00B0F0"/>
          </w:tcPr>
          <w:p w14:paraId="5017E169" w14:textId="77777777" w:rsidR="00C94851" w:rsidRPr="00EA16CA" w:rsidRDefault="00C94851" w:rsidP="00C94851">
            <w:pPr>
              <w:jc w:val="center"/>
              <w:rPr>
                <w:b/>
                <w:sz w:val="28"/>
                <w:szCs w:val="28"/>
              </w:rPr>
            </w:pPr>
            <w:r>
              <w:rPr>
                <w:b/>
                <w:color w:val="FFFFFF" w:themeColor="background1"/>
                <w:sz w:val="28"/>
                <w:szCs w:val="28"/>
              </w:rPr>
              <w:t>Managing Empty Homes</w:t>
            </w:r>
          </w:p>
        </w:tc>
      </w:tr>
      <w:tr w:rsidR="00C94851" w:rsidRPr="00EA16CA" w14:paraId="5017E16F" w14:textId="77777777" w:rsidTr="005303C2">
        <w:trPr>
          <w:trHeight w:val="650"/>
        </w:trPr>
        <w:tc>
          <w:tcPr>
            <w:tcW w:w="4743" w:type="dxa"/>
            <w:shd w:val="clear" w:color="auto" w:fill="A3DEF4" w:themeFill="accent2" w:themeFillTint="66"/>
          </w:tcPr>
          <w:p w14:paraId="5017E16B" w14:textId="77777777" w:rsidR="00C94851" w:rsidRPr="00EA16CA" w:rsidRDefault="00C94851" w:rsidP="00BB7573">
            <w:pPr>
              <w:rPr>
                <w:b/>
              </w:rPr>
            </w:pPr>
            <w:r w:rsidRPr="00EA16CA">
              <w:rPr>
                <w:b/>
              </w:rPr>
              <w:t>Indicator</w:t>
            </w:r>
          </w:p>
        </w:tc>
        <w:tc>
          <w:tcPr>
            <w:tcW w:w="1125" w:type="dxa"/>
            <w:shd w:val="clear" w:color="auto" w:fill="A3DEF4" w:themeFill="accent2" w:themeFillTint="66"/>
          </w:tcPr>
          <w:p w14:paraId="5017E16C" w14:textId="77777777" w:rsidR="00C94851" w:rsidRPr="00EA16CA" w:rsidRDefault="00C94851" w:rsidP="00BB7573">
            <w:pPr>
              <w:jc w:val="center"/>
              <w:rPr>
                <w:b/>
              </w:rPr>
            </w:pPr>
            <w:r w:rsidRPr="00EA16CA">
              <w:rPr>
                <w:b/>
              </w:rPr>
              <w:t>Target</w:t>
            </w:r>
          </w:p>
        </w:tc>
        <w:tc>
          <w:tcPr>
            <w:tcW w:w="1835" w:type="dxa"/>
            <w:shd w:val="clear" w:color="auto" w:fill="A3DEF4" w:themeFill="accent2" w:themeFillTint="66"/>
          </w:tcPr>
          <w:p w14:paraId="5017E16D" w14:textId="77777777" w:rsidR="00C94851" w:rsidRPr="00EA16CA" w:rsidRDefault="00C94851" w:rsidP="00BB7573">
            <w:pPr>
              <w:jc w:val="center"/>
              <w:rPr>
                <w:b/>
              </w:rPr>
            </w:pPr>
            <w:r w:rsidRPr="00EA16CA">
              <w:rPr>
                <w:b/>
              </w:rPr>
              <w:t>Performance</w:t>
            </w:r>
          </w:p>
        </w:tc>
        <w:tc>
          <w:tcPr>
            <w:tcW w:w="1313" w:type="dxa"/>
            <w:shd w:val="clear" w:color="auto" w:fill="A3DEF4" w:themeFill="accent2" w:themeFillTint="66"/>
          </w:tcPr>
          <w:p w14:paraId="5017E16E" w14:textId="77777777" w:rsidR="00C94851" w:rsidRPr="00EA16CA" w:rsidRDefault="00C94851" w:rsidP="00BB7573">
            <w:pPr>
              <w:jc w:val="center"/>
              <w:rPr>
                <w:b/>
              </w:rPr>
            </w:pPr>
            <w:r w:rsidRPr="00EA16CA">
              <w:rPr>
                <w:b/>
              </w:rPr>
              <w:t>How are we doing</w:t>
            </w:r>
          </w:p>
        </w:tc>
      </w:tr>
      <w:tr w:rsidR="00C94851" w:rsidRPr="00EA16CA" w14:paraId="5017E174" w14:textId="77777777" w:rsidTr="005303C2">
        <w:trPr>
          <w:trHeight w:val="451"/>
        </w:trPr>
        <w:tc>
          <w:tcPr>
            <w:tcW w:w="4743" w:type="dxa"/>
          </w:tcPr>
          <w:p w14:paraId="5017E170" w14:textId="77777777" w:rsidR="00C94851" w:rsidRPr="008C510E" w:rsidRDefault="00C94851" w:rsidP="00C94851">
            <w:pPr>
              <w:rPr>
                <w:sz w:val="20"/>
                <w:szCs w:val="20"/>
              </w:rPr>
            </w:pPr>
            <w:r w:rsidRPr="008C510E">
              <w:rPr>
                <w:sz w:val="20"/>
                <w:szCs w:val="20"/>
              </w:rPr>
              <w:t xml:space="preserve">% of £ lost due to empty homes </w:t>
            </w:r>
          </w:p>
        </w:tc>
        <w:tc>
          <w:tcPr>
            <w:tcW w:w="1125" w:type="dxa"/>
          </w:tcPr>
          <w:p w14:paraId="5017E171" w14:textId="769AD72C" w:rsidR="00C94851" w:rsidRPr="008C510E" w:rsidRDefault="00C94851" w:rsidP="00C94851">
            <w:pPr>
              <w:jc w:val="center"/>
              <w:rPr>
                <w:sz w:val="20"/>
                <w:szCs w:val="20"/>
              </w:rPr>
            </w:pPr>
            <w:r w:rsidRPr="008C510E">
              <w:rPr>
                <w:sz w:val="20"/>
                <w:szCs w:val="20"/>
              </w:rPr>
              <w:t>1.</w:t>
            </w:r>
            <w:r w:rsidR="00740B5C">
              <w:rPr>
                <w:sz w:val="20"/>
                <w:szCs w:val="20"/>
              </w:rPr>
              <w:t>0</w:t>
            </w:r>
            <w:r w:rsidR="00385E5C">
              <w:rPr>
                <w:sz w:val="20"/>
                <w:szCs w:val="20"/>
              </w:rPr>
              <w:t>0</w:t>
            </w:r>
            <w:r w:rsidRPr="008C510E">
              <w:rPr>
                <w:sz w:val="20"/>
                <w:szCs w:val="20"/>
              </w:rPr>
              <w:t>%</w:t>
            </w:r>
          </w:p>
        </w:tc>
        <w:tc>
          <w:tcPr>
            <w:tcW w:w="1835" w:type="dxa"/>
          </w:tcPr>
          <w:p w14:paraId="5017E172" w14:textId="71E2F1F5" w:rsidR="00C94851" w:rsidRPr="008C510E" w:rsidRDefault="00F278D7" w:rsidP="00C94851">
            <w:pPr>
              <w:jc w:val="center"/>
              <w:rPr>
                <w:sz w:val="20"/>
                <w:szCs w:val="20"/>
              </w:rPr>
            </w:pPr>
            <w:r>
              <w:rPr>
                <w:sz w:val="20"/>
                <w:szCs w:val="20"/>
              </w:rPr>
              <w:t>0.88%</w:t>
            </w:r>
          </w:p>
        </w:tc>
        <w:tc>
          <w:tcPr>
            <w:tcW w:w="1313" w:type="dxa"/>
          </w:tcPr>
          <w:p w14:paraId="5017E173" w14:textId="77777777" w:rsidR="00C94851" w:rsidRPr="008C510E" w:rsidRDefault="00B7613C" w:rsidP="00BB7573">
            <w:pPr>
              <w:jc w:val="center"/>
              <w:rPr>
                <w:sz w:val="20"/>
                <w:szCs w:val="20"/>
              </w:rPr>
            </w:pPr>
            <w:r w:rsidRPr="008C510E">
              <w:rPr>
                <w:rFonts w:ascii="Montserrat" w:hAnsi="Montserrat"/>
                <w:noProof/>
                <w:sz w:val="20"/>
                <w:szCs w:val="20"/>
                <w:lang w:eastAsia="en-GB"/>
              </w:rPr>
              <w:drawing>
                <wp:inline distT="0" distB="0" distL="0" distR="0" wp14:anchorId="5017E1A6" wp14:editId="5017E1A7">
                  <wp:extent cx="285750" cy="285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879" cy="298879"/>
                          </a:xfrm>
                          <a:prstGeom prst="rect">
                            <a:avLst/>
                          </a:prstGeom>
                          <a:noFill/>
                        </pic:spPr>
                      </pic:pic>
                    </a:graphicData>
                  </a:graphic>
                </wp:inline>
              </w:drawing>
            </w:r>
          </w:p>
        </w:tc>
      </w:tr>
      <w:tr w:rsidR="00C94851" w:rsidRPr="00EA16CA" w14:paraId="5017E179" w14:textId="77777777" w:rsidTr="005303C2">
        <w:trPr>
          <w:trHeight w:val="506"/>
        </w:trPr>
        <w:tc>
          <w:tcPr>
            <w:tcW w:w="4743" w:type="dxa"/>
          </w:tcPr>
          <w:p w14:paraId="5017E175" w14:textId="77777777" w:rsidR="00C94851" w:rsidRPr="008C510E" w:rsidRDefault="00C94851" w:rsidP="00BB7573">
            <w:pPr>
              <w:rPr>
                <w:sz w:val="20"/>
                <w:szCs w:val="20"/>
              </w:rPr>
            </w:pPr>
            <w:r w:rsidRPr="008C510E">
              <w:rPr>
                <w:sz w:val="20"/>
                <w:szCs w:val="20"/>
              </w:rPr>
              <w:t>Average time to let a property</w:t>
            </w:r>
          </w:p>
        </w:tc>
        <w:tc>
          <w:tcPr>
            <w:tcW w:w="1125" w:type="dxa"/>
          </w:tcPr>
          <w:p w14:paraId="5017E176" w14:textId="42D03675" w:rsidR="00C94851" w:rsidRPr="008C510E" w:rsidRDefault="008C7BA7" w:rsidP="00BB7573">
            <w:pPr>
              <w:jc w:val="center"/>
              <w:rPr>
                <w:sz w:val="20"/>
                <w:szCs w:val="20"/>
              </w:rPr>
            </w:pPr>
            <w:r>
              <w:rPr>
                <w:sz w:val="20"/>
                <w:szCs w:val="20"/>
              </w:rPr>
              <w:t>20</w:t>
            </w:r>
            <w:r w:rsidR="00C94851" w:rsidRPr="008C510E">
              <w:rPr>
                <w:sz w:val="20"/>
                <w:szCs w:val="20"/>
              </w:rPr>
              <w:t xml:space="preserve"> days</w:t>
            </w:r>
          </w:p>
        </w:tc>
        <w:tc>
          <w:tcPr>
            <w:tcW w:w="1835" w:type="dxa"/>
          </w:tcPr>
          <w:p w14:paraId="5017E177" w14:textId="58431D6B" w:rsidR="00C94851" w:rsidRPr="008C510E" w:rsidRDefault="00494B92" w:rsidP="00BB7573">
            <w:pPr>
              <w:jc w:val="center"/>
              <w:rPr>
                <w:sz w:val="20"/>
                <w:szCs w:val="20"/>
              </w:rPr>
            </w:pPr>
            <w:r>
              <w:rPr>
                <w:sz w:val="20"/>
                <w:szCs w:val="20"/>
              </w:rPr>
              <w:t>22 days</w:t>
            </w:r>
          </w:p>
        </w:tc>
        <w:tc>
          <w:tcPr>
            <w:tcW w:w="1313" w:type="dxa"/>
          </w:tcPr>
          <w:p w14:paraId="5017E178" w14:textId="3E8ECD42" w:rsidR="00C94851" w:rsidRPr="008C510E" w:rsidRDefault="005303C2" w:rsidP="00456E91">
            <w:pPr>
              <w:jc w:val="center"/>
              <w:rPr>
                <w:sz w:val="20"/>
                <w:szCs w:val="20"/>
              </w:rPr>
            </w:pPr>
            <w:r w:rsidRPr="00EC03EA">
              <w:rPr>
                <w:rFonts w:ascii="Montserrat" w:hAnsi="Montserrat"/>
                <w:b/>
                <w:noProof/>
                <w:sz w:val="20"/>
                <w:szCs w:val="20"/>
                <w:lang w:eastAsia="en-GB"/>
              </w:rPr>
              <w:drawing>
                <wp:inline distT="0" distB="0" distL="0" distR="0" wp14:anchorId="07652B0E" wp14:editId="4F3175E7">
                  <wp:extent cx="321468" cy="2571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102" cy="264082"/>
                          </a:xfrm>
                          <a:prstGeom prst="rect">
                            <a:avLst/>
                          </a:prstGeom>
                          <a:noFill/>
                        </pic:spPr>
                      </pic:pic>
                    </a:graphicData>
                  </a:graphic>
                </wp:inline>
              </w:drawing>
            </w:r>
          </w:p>
        </w:tc>
      </w:tr>
      <w:tr w:rsidR="005303C2" w:rsidRPr="00EA16CA" w14:paraId="73178548" w14:textId="77777777" w:rsidTr="0035263B">
        <w:trPr>
          <w:trHeight w:val="1002"/>
        </w:trPr>
        <w:tc>
          <w:tcPr>
            <w:tcW w:w="9016" w:type="dxa"/>
            <w:gridSpan w:val="4"/>
          </w:tcPr>
          <w:p w14:paraId="18B72C6D" w14:textId="77777777" w:rsidR="005303C2" w:rsidRPr="005303C2" w:rsidRDefault="005303C2" w:rsidP="005303C2">
            <w:pPr>
              <w:rPr>
                <w:rFonts w:ascii="Montserrat" w:hAnsi="Montserrat"/>
                <w:b/>
                <w:bCs/>
                <w:noProof/>
                <w:sz w:val="20"/>
                <w:szCs w:val="20"/>
                <w:lang w:eastAsia="en-GB"/>
              </w:rPr>
            </w:pPr>
            <w:r w:rsidRPr="005303C2">
              <w:rPr>
                <w:rFonts w:ascii="Montserrat" w:hAnsi="Montserrat"/>
                <w:b/>
                <w:bCs/>
                <w:noProof/>
                <w:sz w:val="20"/>
                <w:szCs w:val="20"/>
                <w:lang w:eastAsia="en-GB"/>
              </w:rPr>
              <w:t>Time to let a property:</w:t>
            </w:r>
          </w:p>
          <w:p w14:paraId="693C44E5" w14:textId="77777777" w:rsidR="0093024A" w:rsidRPr="008C510E" w:rsidRDefault="0093024A" w:rsidP="0093024A">
            <w:pPr>
              <w:rPr>
                <w:rFonts w:ascii="Montserrat" w:hAnsi="Montserrat"/>
                <w:noProof/>
                <w:sz w:val="20"/>
                <w:szCs w:val="20"/>
                <w:lang w:eastAsia="en-GB"/>
              </w:rPr>
            </w:pPr>
            <w:r w:rsidRPr="3BA101DB">
              <w:rPr>
                <w:rFonts w:ascii="Montserrat" w:hAnsi="Montserrat"/>
                <w:noProof/>
                <w:sz w:val="20"/>
                <w:szCs w:val="20"/>
                <w:lang w:eastAsia="en-GB"/>
              </w:rPr>
              <w:t xml:space="preserve">During the year, we have let one property that was empty for a long time which has impacted the performance of this indicator. </w:t>
            </w:r>
          </w:p>
          <w:p w14:paraId="3EF3CC4A" w14:textId="482BF3A3" w:rsidR="005303C2" w:rsidRDefault="0093024A" w:rsidP="0093024A">
            <w:pPr>
              <w:rPr>
                <w:rFonts w:ascii="Montserrat" w:hAnsi="Montserrat"/>
                <w:noProof/>
                <w:sz w:val="20"/>
                <w:szCs w:val="20"/>
                <w:lang w:eastAsia="en-GB"/>
              </w:rPr>
            </w:pPr>
            <w:r w:rsidRPr="3BA101DB">
              <w:rPr>
                <w:rFonts w:ascii="Montserrat" w:hAnsi="Montserrat"/>
                <w:noProof/>
                <w:sz w:val="20"/>
                <w:szCs w:val="20"/>
                <w:lang w:eastAsia="en-GB"/>
              </w:rPr>
              <w:t xml:space="preserve">Excluding this property, we would be within target.  </w:t>
            </w:r>
          </w:p>
          <w:p w14:paraId="54198BDD" w14:textId="30A4D7B3" w:rsidR="00240ACA" w:rsidRPr="008C510E" w:rsidRDefault="00240ACA" w:rsidP="00240ACA">
            <w:pPr>
              <w:rPr>
                <w:rFonts w:ascii="Montserrat" w:hAnsi="Montserrat"/>
                <w:noProof/>
                <w:sz w:val="20"/>
                <w:szCs w:val="20"/>
                <w:lang w:eastAsia="en-GB"/>
              </w:rPr>
            </w:pPr>
          </w:p>
        </w:tc>
      </w:tr>
    </w:tbl>
    <w:p w14:paraId="5017E17E" w14:textId="77777777" w:rsidR="00DC780D" w:rsidRDefault="00DC780D" w:rsidP="00C94851">
      <w:pPr>
        <w:rPr>
          <w:sz w:val="24"/>
          <w:szCs w:val="24"/>
        </w:rPr>
      </w:pPr>
    </w:p>
    <w:tbl>
      <w:tblPr>
        <w:tblStyle w:val="TableGrid"/>
        <w:tblW w:w="0" w:type="auto"/>
        <w:tblLook w:val="04A0" w:firstRow="1" w:lastRow="0" w:firstColumn="1" w:lastColumn="0" w:noHBand="0" w:noVBand="1"/>
      </w:tblPr>
      <w:tblGrid>
        <w:gridCol w:w="4743"/>
        <w:gridCol w:w="1125"/>
        <w:gridCol w:w="1835"/>
        <w:gridCol w:w="1313"/>
      </w:tblGrid>
      <w:tr w:rsidR="00C94851" w:rsidRPr="00EA16CA" w14:paraId="5017E180" w14:textId="77777777" w:rsidTr="00C36DEA">
        <w:tc>
          <w:tcPr>
            <w:tcW w:w="9016" w:type="dxa"/>
            <w:gridSpan w:val="4"/>
            <w:shd w:val="clear" w:color="auto" w:fill="00B0F0"/>
          </w:tcPr>
          <w:p w14:paraId="5017E17F" w14:textId="77777777" w:rsidR="00C94851" w:rsidRPr="00EA16CA" w:rsidRDefault="00C94851" w:rsidP="00C94851">
            <w:pPr>
              <w:jc w:val="center"/>
              <w:rPr>
                <w:b/>
                <w:sz w:val="28"/>
                <w:szCs w:val="28"/>
              </w:rPr>
            </w:pPr>
            <w:r>
              <w:rPr>
                <w:b/>
                <w:color w:val="FFFFFF" w:themeColor="background1"/>
                <w:sz w:val="28"/>
                <w:szCs w:val="28"/>
              </w:rPr>
              <w:t>Managing Income</w:t>
            </w:r>
          </w:p>
        </w:tc>
      </w:tr>
      <w:tr w:rsidR="00C94851" w:rsidRPr="00EA16CA" w14:paraId="5017E185" w14:textId="77777777" w:rsidTr="00C36DEA">
        <w:tc>
          <w:tcPr>
            <w:tcW w:w="4743" w:type="dxa"/>
            <w:shd w:val="clear" w:color="auto" w:fill="A3DEF4" w:themeFill="accent2" w:themeFillTint="66"/>
          </w:tcPr>
          <w:p w14:paraId="5017E181" w14:textId="77777777" w:rsidR="00C94851" w:rsidRPr="00EA16CA" w:rsidRDefault="00C94851" w:rsidP="00BB7573">
            <w:pPr>
              <w:rPr>
                <w:b/>
              </w:rPr>
            </w:pPr>
            <w:r w:rsidRPr="00EA16CA">
              <w:rPr>
                <w:b/>
              </w:rPr>
              <w:t>Indicator</w:t>
            </w:r>
          </w:p>
        </w:tc>
        <w:tc>
          <w:tcPr>
            <w:tcW w:w="1125" w:type="dxa"/>
            <w:shd w:val="clear" w:color="auto" w:fill="A3DEF4" w:themeFill="accent2" w:themeFillTint="66"/>
          </w:tcPr>
          <w:p w14:paraId="5017E182" w14:textId="77777777" w:rsidR="00C94851" w:rsidRPr="00EA16CA" w:rsidRDefault="00C94851" w:rsidP="00BB7573">
            <w:pPr>
              <w:jc w:val="center"/>
              <w:rPr>
                <w:b/>
              </w:rPr>
            </w:pPr>
            <w:r w:rsidRPr="00EA16CA">
              <w:rPr>
                <w:b/>
              </w:rPr>
              <w:t>Target</w:t>
            </w:r>
          </w:p>
        </w:tc>
        <w:tc>
          <w:tcPr>
            <w:tcW w:w="1835" w:type="dxa"/>
            <w:shd w:val="clear" w:color="auto" w:fill="A3DEF4" w:themeFill="accent2" w:themeFillTint="66"/>
          </w:tcPr>
          <w:p w14:paraId="5017E183" w14:textId="77777777" w:rsidR="00C94851" w:rsidRPr="00EA16CA" w:rsidRDefault="00C94851" w:rsidP="00BB7573">
            <w:pPr>
              <w:jc w:val="center"/>
              <w:rPr>
                <w:b/>
              </w:rPr>
            </w:pPr>
            <w:r w:rsidRPr="00EA16CA">
              <w:rPr>
                <w:b/>
              </w:rPr>
              <w:t>Performance</w:t>
            </w:r>
          </w:p>
        </w:tc>
        <w:tc>
          <w:tcPr>
            <w:tcW w:w="1313" w:type="dxa"/>
            <w:shd w:val="clear" w:color="auto" w:fill="A3DEF4" w:themeFill="accent2" w:themeFillTint="66"/>
          </w:tcPr>
          <w:p w14:paraId="5017E184" w14:textId="77777777" w:rsidR="00C94851" w:rsidRPr="00EA16CA" w:rsidRDefault="00C94851" w:rsidP="00BB7573">
            <w:pPr>
              <w:jc w:val="center"/>
              <w:rPr>
                <w:b/>
              </w:rPr>
            </w:pPr>
            <w:r w:rsidRPr="00EA16CA">
              <w:rPr>
                <w:b/>
              </w:rPr>
              <w:t>How are we doing</w:t>
            </w:r>
          </w:p>
        </w:tc>
      </w:tr>
      <w:tr w:rsidR="00C94851" w:rsidRPr="00EA16CA" w14:paraId="5017E18A" w14:textId="77777777" w:rsidTr="00D11E05">
        <w:trPr>
          <w:trHeight w:val="454"/>
        </w:trPr>
        <w:tc>
          <w:tcPr>
            <w:tcW w:w="4743" w:type="dxa"/>
          </w:tcPr>
          <w:p w14:paraId="5017E186" w14:textId="77777777" w:rsidR="00C94851" w:rsidRPr="008C510E" w:rsidRDefault="00C94851" w:rsidP="00C94851">
            <w:pPr>
              <w:rPr>
                <w:sz w:val="20"/>
                <w:szCs w:val="20"/>
              </w:rPr>
            </w:pPr>
            <w:r w:rsidRPr="008C510E">
              <w:rPr>
                <w:sz w:val="20"/>
                <w:szCs w:val="20"/>
              </w:rPr>
              <w:t xml:space="preserve">% of £ lost due to rent arrears </w:t>
            </w:r>
          </w:p>
        </w:tc>
        <w:tc>
          <w:tcPr>
            <w:tcW w:w="1125" w:type="dxa"/>
          </w:tcPr>
          <w:p w14:paraId="5017E187" w14:textId="713B684A" w:rsidR="00C94851" w:rsidRPr="008C510E" w:rsidRDefault="00A3526D" w:rsidP="00C94851">
            <w:pPr>
              <w:jc w:val="center"/>
              <w:rPr>
                <w:sz w:val="20"/>
                <w:szCs w:val="20"/>
              </w:rPr>
            </w:pPr>
            <w:r>
              <w:rPr>
                <w:sz w:val="20"/>
                <w:szCs w:val="20"/>
              </w:rPr>
              <w:t>2</w:t>
            </w:r>
            <w:r w:rsidR="00CC5DF2">
              <w:rPr>
                <w:sz w:val="20"/>
                <w:szCs w:val="20"/>
              </w:rPr>
              <w:t>.</w:t>
            </w:r>
            <w:r w:rsidR="008C7BA7">
              <w:rPr>
                <w:sz w:val="20"/>
                <w:szCs w:val="20"/>
              </w:rPr>
              <w:t>5</w:t>
            </w:r>
            <w:r w:rsidR="00DB01B4">
              <w:rPr>
                <w:sz w:val="20"/>
                <w:szCs w:val="20"/>
              </w:rPr>
              <w:t>0</w:t>
            </w:r>
            <w:r w:rsidR="00C94851" w:rsidRPr="008C510E">
              <w:rPr>
                <w:sz w:val="20"/>
                <w:szCs w:val="20"/>
              </w:rPr>
              <w:t>%</w:t>
            </w:r>
          </w:p>
        </w:tc>
        <w:tc>
          <w:tcPr>
            <w:tcW w:w="1835" w:type="dxa"/>
          </w:tcPr>
          <w:p w14:paraId="5017E188" w14:textId="4ADE5C5C" w:rsidR="00F64874" w:rsidRPr="008C510E" w:rsidRDefault="00494B92" w:rsidP="00782F5F">
            <w:pPr>
              <w:jc w:val="center"/>
              <w:rPr>
                <w:sz w:val="20"/>
                <w:szCs w:val="20"/>
              </w:rPr>
            </w:pPr>
            <w:r>
              <w:rPr>
                <w:sz w:val="20"/>
                <w:szCs w:val="20"/>
              </w:rPr>
              <w:t>3.06%</w:t>
            </w:r>
          </w:p>
        </w:tc>
        <w:tc>
          <w:tcPr>
            <w:tcW w:w="1313" w:type="dxa"/>
          </w:tcPr>
          <w:p w14:paraId="5017E189" w14:textId="3A83342E" w:rsidR="00C94851" w:rsidRPr="008C510E" w:rsidRDefault="00D6402B" w:rsidP="00BB7573">
            <w:pPr>
              <w:jc w:val="center"/>
              <w:rPr>
                <w:sz w:val="20"/>
                <w:szCs w:val="20"/>
              </w:rPr>
            </w:pPr>
            <w:r w:rsidRPr="00EC03EA">
              <w:rPr>
                <w:rFonts w:ascii="Montserrat" w:hAnsi="Montserrat"/>
                <w:b/>
                <w:noProof/>
                <w:sz w:val="20"/>
                <w:szCs w:val="20"/>
                <w:lang w:eastAsia="en-GB"/>
              </w:rPr>
              <w:drawing>
                <wp:inline distT="0" distB="0" distL="0" distR="0" wp14:anchorId="5675A792" wp14:editId="7AAA643A">
                  <wp:extent cx="321468" cy="25717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102" cy="264082"/>
                          </a:xfrm>
                          <a:prstGeom prst="rect">
                            <a:avLst/>
                          </a:prstGeom>
                          <a:noFill/>
                        </pic:spPr>
                      </pic:pic>
                    </a:graphicData>
                  </a:graphic>
                </wp:inline>
              </w:drawing>
            </w:r>
          </w:p>
        </w:tc>
      </w:tr>
      <w:tr w:rsidR="00C36DEA" w:rsidRPr="00EA16CA" w14:paraId="0B0F221F" w14:textId="77777777" w:rsidTr="004845FA">
        <w:tc>
          <w:tcPr>
            <w:tcW w:w="9016" w:type="dxa"/>
            <w:gridSpan w:val="4"/>
          </w:tcPr>
          <w:p w14:paraId="7231B3E1" w14:textId="48698B84" w:rsidR="00C36DEA" w:rsidRDefault="00C36DEA" w:rsidP="00C36DEA">
            <w:pPr>
              <w:rPr>
                <w:rFonts w:ascii="Montserrat" w:hAnsi="Montserrat"/>
                <w:b/>
                <w:noProof/>
                <w:sz w:val="20"/>
                <w:szCs w:val="20"/>
                <w:lang w:eastAsia="en-GB"/>
              </w:rPr>
            </w:pPr>
            <w:r>
              <w:rPr>
                <w:rFonts w:ascii="Montserrat" w:hAnsi="Montserrat"/>
                <w:b/>
                <w:noProof/>
                <w:sz w:val="20"/>
                <w:szCs w:val="20"/>
                <w:lang w:eastAsia="en-GB"/>
              </w:rPr>
              <w:t>% of rent arrears</w:t>
            </w:r>
            <w:r w:rsidR="00867AF0">
              <w:rPr>
                <w:rFonts w:ascii="Montserrat" w:hAnsi="Montserrat"/>
                <w:b/>
                <w:noProof/>
                <w:sz w:val="20"/>
                <w:szCs w:val="20"/>
                <w:lang w:eastAsia="en-GB"/>
              </w:rPr>
              <w:t>:</w:t>
            </w:r>
          </w:p>
          <w:p w14:paraId="23B7F286" w14:textId="77777777" w:rsidR="00D876A8" w:rsidRDefault="00D876A8" w:rsidP="00D876A8">
            <w:pPr>
              <w:rPr>
                <w:rFonts w:ascii="Montserrat" w:hAnsi="Montserrat"/>
                <w:noProof/>
                <w:sz w:val="20"/>
                <w:szCs w:val="20"/>
                <w:lang w:eastAsia="en-GB"/>
              </w:rPr>
            </w:pPr>
            <w:r w:rsidRPr="3BA101DB">
              <w:rPr>
                <w:rFonts w:ascii="Montserrat" w:hAnsi="Montserrat"/>
                <w:noProof/>
                <w:sz w:val="20"/>
                <w:szCs w:val="20"/>
                <w:lang w:eastAsia="en-GB"/>
              </w:rPr>
              <w:t xml:space="preserve">Payments of housing benefit and universal credit to North Star arrive with us at different times each month.  This can impact the performance of this indicator. Up to August 2022, we are £37k outside of this performance indicator. Our welfare benefits team have seen a 25% increase in referrals for support but funding available to support tenants has been reduced by Government. </w:t>
            </w:r>
          </w:p>
          <w:p w14:paraId="62DFD153" w14:textId="4CA87820" w:rsidR="00D876A8" w:rsidRDefault="00D876A8" w:rsidP="00D876A8">
            <w:pPr>
              <w:rPr>
                <w:rFonts w:ascii="Montserrat" w:hAnsi="Montserrat"/>
                <w:noProof/>
                <w:sz w:val="20"/>
                <w:szCs w:val="20"/>
                <w:lang w:eastAsia="en-GB"/>
              </w:rPr>
            </w:pPr>
            <w:r w:rsidRPr="3BA101DB">
              <w:rPr>
                <w:rFonts w:ascii="Montserrat" w:hAnsi="Montserrat"/>
                <w:noProof/>
                <w:sz w:val="20"/>
                <w:szCs w:val="20"/>
                <w:lang w:eastAsia="en-GB"/>
              </w:rPr>
              <w:t>We have increased our welfare benefits team to support more customers who are finding it increasingly difficult to pay their rent as a result of the cost of living crisis.</w:t>
            </w:r>
          </w:p>
          <w:p w14:paraId="76154122" w14:textId="77777777" w:rsidR="00DD4E9E" w:rsidRDefault="00DD4E9E" w:rsidP="00D876A8">
            <w:pPr>
              <w:rPr>
                <w:rFonts w:ascii="Montserrat" w:hAnsi="Montserrat"/>
                <w:noProof/>
                <w:sz w:val="20"/>
                <w:szCs w:val="20"/>
                <w:lang w:eastAsia="en-GB"/>
              </w:rPr>
            </w:pPr>
          </w:p>
          <w:p w14:paraId="6710D02C" w14:textId="7CB88C09" w:rsidR="00240ACA" w:rsidRPr="00D876A8" w:rsidRDefault="00D876A8" w:rsidP="0035263B">
            <w:pPr>
              <w:rPr>
                <w:rFonts w:ascii="Montserrat" w:hAnsi="Montserrat"/>
                <w:noProof/>
                <w:sz w:val="20"/>
                <w:szCs w:val="20"/>
                <w:lang w:eastAsia="en-GB"/>
              </w:rPr>
            </w:pPr>
            <w:r w:rsidRPr="3BA101DB">
              <w:rPr>
                <w:rFonts w:ascii="Montserrat" w:hAnsi="Montserrat"/>
                <w:noProof/>
                <w:sz w:val="20"/>
                <w:szCs w:val="20"/>
                <w:lang w:eastAsia="en-GB"/>
              </w:rPr>
              <w:lastRenderedPageBreak/>
              <w:t>We continue to work in partnership  with other organisations including Citizens Advice Bureau and food banks to support our customers</w:t>
            </w:r>
            <w:r>
              <w:rPr>
                <w:rFonts w:ascii="Montserrat" w:hAnsi="Montserrat"/>
                <w:noProof/>
                <w:sz w:val="20"/>
                <w:szCs w:val="20"/>
                <w:lang w:eastAsia="en-GB"/>
              </w:rPr>
              <w:t>.</w:t>
            </w:r>
          </w:p>
        </w:tc>
      </w:tr>
    </w:tbl>
    <w:p w14:paraId="16362463" w14:textId="77777777" w:rsidR="00494B92" w:rsidRDefault="00494B92" w:rsidP="00C94851">
      <w:pPr>
        <w:rPr>
          <w:sz w:val="24"/>
          <w:szCs w:val="24"/>
        </w:rPr>
      </w:pPr>
    </w:p>
    <w:tbl>
      <w:tblPr>
        <w:tblStyle w:val="TableGrid"/>
        <w:tblW w:w="0" w:type="auto"/>
        <w:tblLook w:val="04A0" w:firstRow="1" w:lastRow="0" w:firstColumn="1" w:lastColumn="0" w:noHBand="0" w:noVBand="1"/>
      </w:tblPr>
      <w:tblGrid>
        <w:gridCol w:w="4745"/>
        <w:gridCol w:w="1124"/>
        <w:gridCol w:w="1834"/>
        <w:gridCol w:w="1313"/>
      </w:tblGrid>
      <w:tr w:rsidR="00EC03EA" w:rsidRPr="00EA16CA" w14:paraId="5017E18D" w14:textId="77777777" w:rsidTr="00BE0199">
        <w:tc>
          <w:tcPr>
            <w:tcW w:w="9016" w:type="dxa"/>
            <w:gridSpan w:val="4"/>
            <w:shd w:val="clear" w:color="auto" w:fill="00B0F0"/>
          </w:tcPr>
          <w:p w14:paraId="5017E18C" w14:textId="77777777" w:rsidR="00EC03EA" w:rsidRPr="00EA16CA" w:rsidRDefault="00EC03EA" w:rsidP="00EC03EA">
            <w:pPr>
              <w:jc w:val="center"/>
              <w:rPr>
                <w:b/>
                <w:sz w:val="28"/>
                <w:szCs w:val="28"/>
              </w:rPr>
            </w:pPr>
            <w:r>
              <w:rPr>
                <w:b/>
                <w:color w:val="FFFFFF" w:themeColor="background1"/>
                <w:sz w:val="28"/>
                <w:szCs w:val="28"/>
              </w:rPr>
              <w:t xml:space="preserve">Delivering Customer Service </w:t>
            </w:r>
          </w:p>
        </w:tc>
      </w:tr>
      <w:tr w:rsidR="00EC03EA" w:rsidRPr="00EA16CA" w14:paraId="5017E192" w14:textId="77777777" w:rsidTr="00BE0199">
        <w:tc>
          <w:tcPr>
            <w:tcW w:w="4745" w:type="dxa"/>
            <w:shd w:val="clear" w:color="auto" w:fill="A3DEF4" w:themeFill="accent2" w:themeFillTint="66"/>
          </w:tcPr>
          <w:p w14:paraId="5017E18E" w14:textId="77777777" w:rsidR="00EC03EA" w:rsidRPr="00EA16CA" w:rsidRDefault="00EC03EA" w:rsidP="00BB7573">
            <w:pPr>
              <w:rPr>
                <w:b/>
              </w:rPr>
            </w:pPr>
            <w:r w:rsidRPr="00EA16CA">
              <w:rPr>
                <w:b/>
              </w:rPr>
              <w:t>Indicator</w:t>
            </w:r>
          </w:p>
        </w:tc>
        <w:tc>
          <w:tcPr>
            <w:tcW w:w="1124" w:type="dxa"/>
            <w:shd w:val="clear" w:color="auto" w:fill="A3DEF4" w:themeFill="accent2" w:themeFillTint="66"/>
          </w:tcPr>
          <w:p w14:paraId="5017E18F" w14:textId="77777777" w:rsidR="00EC03EA" w:rsidRPr="00EA16CA" w:rsidRDefault="00EC03EA" w:rsidP="00BB7573">
            <w:pPr>
              <w:jc w:val="center"/>
              <w:rPr>
                <w:b/>
              </w:rPr>
            </w:pPr>
            <w:r w:rsidRPr="00EA16CA">
              <w:rPr>
                <w:b/>
              </w:rPr>
              <w:t>Target</w:t>
            </w:r>
          </w:p>
        </w:tc>
        <w:tc>
          <w:tcPr>
            <w:tcW w:w="1834" w:type="dxa"/>
            <w:shd w:val="clear" w:color="auto" w:fill="A3DEF4" w:themeFill="accent2" w:themeFillTint="66"/>
          </w:tcPr>
          <w:p w14:paraId="5017E190" w14:textId="77777777" w:rsidR="00EC03EA" w:rsidRPr="00EA16CA" w:rsidRDefault="00EC03EA" w:rsidP="00BB7573">
            <w:pPr>
              <w:jc w:val="center"/>
              <w:rPr>
                <w:b/>
              </w:rPr>
            </w:pPr>
            <w:r w:rsidRPr="00EA16CA">
              <w:rPr>
                <w:b/>
              </w:rPr>
              <w:t>Performance</w:t>
            </w:r>
          </w:p>
        </w:tc>
        <w:tc>
          <w:tcPr>
            <w:tcW w:w="1313" w:type="dxa"/>
            <w:shd w:val="clear" w:color="auto" w:fill="A3DEF4" w:themeFill="accent2" w:themeFillTint="66"/>
          </w:tcPr>
          <w:p w14:paraId="5017E191" w14:textId="77777777" w:rsidR="00EC03EA" w:rsidRPr="00EA16CA" w:rsidRDefault="00EC03EA" w:rsidP="00BB7573">
            <w:pPr>
              <w:jc w:val="center"/>
              <w:rPr>
                <w:b/>
              </w:rPr>
            </w:pPr>
            <w:r w:rsidRPr="00EA16CA">
              <w:rPr>
                <w:b/>
              </w:rPr>
              <w:t>How are we doing</w:t>
            </w:r>
          </w:p>
        </w:tc>
      </w:tr>
      <w:tr w:rsidR="00EC03EA" w:rsidRPr="00EA16CA" w14:paraId="5017E197" w14:textId="77777777" w:rsidTr="00BE0199">
        <w:trPr>
          <w:trHeight w:val="555"/>
        </w:trPr>
        <w:tc>
          <w:tcPr>
            <w:tcW w:w="4745" w:type="dxa"/>
          </w:tcPr>
          <w:p w14:paraId="5017E193" w14:textId="77777777" w:rsidR="00EC03EA" w:rsidRPr="008C510E" w:rsidRDefault="00DE6CCB" w:rsidP="00EC03EA">
            <w:pPr>
              <w:rPr>
                <w:sz w:val="20"/>
                <w:szCs w:val="20"/>
              </w:rPr>
            </w:pPr>
            <w:r>
              <w:rPr>
                <w:sz w:val="20"/>
                <w:szCs w:val="20"/>
              </w:rPr>
              <w:t>% of calls</w:t>
            </w:r>
            <w:r w:rsidR="00EC03EA" w:rsidRPr="008C510E">
              <w:rPr>
                <w:sz w:val="20"/>
                <w:szCs w:val="20"/>
              </w:rPr>
              <w:t xml:space="preserve"> dealt with on first contact</w:t>
            </w:r>
          </w:p>
        </w:tc>
        <w:tc>
          <w:tcPr>
            <w:tcW w:w="1124" w:type="dxa"/>
          </w:tcPr>
          <w:p w14:paraId="5017E194" w14:textId="77777777" w:rsidR="00EC03EA" w:rsidRPr="008C510E" w:rsidRDefault="00881852" w:rsidP="00EC03EA">
            <w:pPr>
              <w:jc w:val="center"/>
              <w:rPr>
                <w:sz w:val="20"/>
                <w:szCs w:val="20"/>
              </w:rPr>
            </w:pPr>
            <w:r>
              <w:rPr>
                <w:sz w:val="20"/>
                <w:szCs w:val="20"/>
              </w:rPr>
              <w:t>9</w:t>
            </w:r>
            <w:r w:rsidR="00EC03EA" w:rsidRPr="008C510E">
              <w:rPr>
                <w:sz w:val="20"/>
                <w:szCs w:val="20"/>
              </w:rPr>
              <w:t>0%</w:t>
            </w:r>
          </w:p>
        </w:tc>
        <w:tc>
          <w:tcPr>
            <w:tcW w:w="1834" w:type="dxa"/>
          </w:tcPr>
          <w:p w14:paraId="5017E195" w14:textId="69E66F1D" w:rsidR="00EC03EA" w:rsidRPr="008C510E" w:rsidRDefault="00494B92" w:rsidP="00DB511E">
            <w:pPr>
              <w:jc w:val="center"/>
              <w:rPr>
                <w:sz w:val="20"/>
                <w:szCs w:val="20"/>
              </w:rPr>
            </w:pPr>
            <w:r>
              <w:rPr>
                <w:sz w:val="20"/>
                <w:szCs w:val="20"/>
              </w:rPr>
              <w:t>92%</w:t>
            </w:r>
          </w:p>
        </w:tc>
        <w:tc>
          <w:tcPr>
            <w:tcW w:w="1313" w:type="dxa"/>
          </w:tcPr>
          <w:p w14:paraId="5017E196" w14:textId="7A55E012" w:rsidR="00EC03EA" w:rsidRPr="008C510E" w:rsidRDefault="00494B92" w:rsidP="00BB7573">
            <w:pPr>
              <w:jc w:val="center"/>
              <w:rPr>
                <w:sz w:val="20"/>
                <w:szCs w:val="20"/>
              </w:rPr>
            </w:pPr>
            <w:r w:rsidRPr="008C510E">
              <w:rPr>
                <w:rFonts w:ascii="Montserrat" w:hAnsi="Montserrat"/>
                <w:noProof/>
                <w:sz w:val="20"/>
                <w:szCs w:val="20"/>
                <w:lang w:eastAsia="en-GB"/>
              </w:rPr>
              <w:drawing>
                <wp:inline distT="0" distB="0" distL="0" distR="0" wp14:anchorId="4B821942" wp14:editId="590FE998">
                  <wp:extent cx="285750" cy="285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879" cy="298879"/>
                          </a:xfrm>
                          <a:prstGeom prst="rect">
                            <a:avLst/>
                          </a:prstGeom>
                          <a:noFill/>
                        </pic:spPr>
                      </pic:pic>
                    </a:graphicData>
                  </a:graphic>
                </wp:inline>
              </w:drawing>
            </w:r>
          </w:p>
        </w:tc>
      </w:tr>
    </w:tbl>
    <w:p w14:paraId="5017E19D" w14:textId="77777777" w:rsidR="00C94851" w:rsidRPr="00EA16CA" w:rsidRDefault="00C94851" w:rsidP="00C94851">
      <w:pPr>
        <w:rPr>
          <w:sz w:val="24"/>
          <w:szCs w:val="24"/>
        </w:rPr>
      </w:pPr>
    </w:p>
    <w:sectPr w:rsidR="00C94851" w:rsidRPr="00EA16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tserrat">
    <w:altName w:val="Montserrat"/>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Montserrat-SemiBold">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Hero">
    <w:panose1 w:val="02000506000000020004"/>
    <w:charset w:val="00"/>
    <w:family w:val="moder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6CA"/>
    <w:rsid w:val="000023E2"/>
    <w:rsid w:val="00011635"/>
    <w:rsid w:val="000139A5"/>
    <w:rsid w:val="00045178"/>
    <w:rsid w:val="0005114F"/>
    <w:rsid w:val="00065076"/>
    <w:rsid w:val="0006799F"/>
    <w:rsid w:val="000740E0"/>
    <w:rsid w:val="00075584"/>
    <w:rsid w:val="000758BE"/>
    <w:rsid w:val="000767BF"/>
    <w:rsid w:val="00082CEB"/>
    <w:rsid w:val="00085880"/>
    <w:rsid w:val="00096C62"/>
    <w:rsid w:val="000A0F28"/>
    <w:rsid w:val="000A1E9F"/>
    <w:rsid w:val="000A4C2D"/>
    <w:rsid w:val="000C31D6"/>
    <w:rsid w:val="000C5FDD"/>
    <w:rsid w:val="000D2C99"/>
    <w:rsid w:val="000D3E20"/>
    <w:rsid w:val="000E4C13"/>
    <w:rsid w:val="000F2036"/>
    <w:rsid w:val="00103D9E"/>
    <w:rsid w:val="00115C6D"/>
    <w:rsid w:val="00127ED0"/>
    <w:rsid w:val="00130F33"/>
    <w:rsid w:val="0013117F"/>
    <w:rsid w:val="00131D48"/>
    <w:rsid w:val="0014705C"/>
    <w:rsid w:val="00177874"/>
    <w:rsid w:val="00187995"/>
    <w:rsid w:val="001A1E69"/>
    <w:rsid w:val="001A5D37"/>
    <w:rsid w:val="001A667D"/>
    <w:rsid w:val="001A7520"/>
    <w:rsid w:val="001C0E75"/>
    <w:rsid w:val="001D3BBC"/>
    <w:rsid w:val="001D4890"/>
    <w:rsid w:val="001D671E"/>
    <w:rsid w:val="001E1677"/>
    <w:rsid w:val="001E575D"/>
    <w:rsid w:val="001F12E2"/>
    <w:rsid w:val="001F7163"/>
    <w:rsid w:val="0020063C"/>
    <w:rsid w:val="00202C06"/>
    <w:rsid w:val="002040EA"/>
    <w:rsid w:val="002141C2"/>
    <w:rsid w:val="002142B0"/>
    <w:rsid w:val="00214D8D"/>
    <w:rsid w:val="00224F47"/>
    <w:rsid w:val="00227401"/>
    <w:rsid w:val="00240ACA"/>
    <w:rsid w:val="002471A9"/>
    <w:rsid w:val="00247299"/>
    <w:rsid w:val="002515A7"/>
    <w:rsid w:val="002A32AA"/>
    <w:rsid w:val="002A6C35"/>
    <w:rsid w:val="002B0FD7"/>
    <w:rsid w:val="002C3FF2"/>
    <w:rsid w:val="002C425F"/>
    <w:rsid w:val="002C531D"/>
    <w:rsid w:val="002E042D"/>
    <w:rsid w:val="002F1154"/>
    <w:rsid w:val="002F17BF"/>
    <w:rsid w:val="002F36F1"/>
    <w:rsid w:val="00303464"/>
    <w:rsid w:val="00305500"/>
    <w:rsid w:val="00305A87"/>
    <w:rsid w:val="003070FC"/>
    <w:rsid w:val="00313DAF"/>
    <w:rsid w:val="00321937"/>
    <w:rsid w:val="00325F34"/>
    <w:rsid w:val="00326139"/>
    <w:rsid w:val="003277D7"/>
    <w:rsid w:val="0033230F"/>
    <w:rsid w:val="00347B82"/>
    <w:rsid w:val="0035263B"/>
    <w:rsid w:val="003545FB"/>
    <w:rsid w:val="00372E0D"/>
    <w:rsid w:val="0037604A"/>
    <w:rsid w:val="00385B9F"/>
    <w:rsid w:val="00385E5C"/>
    <w:rsid w:val="003A50EB"/>
    <w:rsid w:val="003A6C51"/>
    <w:rsid w:val="003B3C62"/>
    <w:rsid w:val="003C3F17"/>
    <w:rsid w:val="003C42E1"/>
    <w:rsid w:val="003D1809"/>
    <w:rsid w:val="003D7B22"/>
    <w:rsid w:val="003E08F4"/>
    <w:rsid w:val="003E1183"/>
    <w:rsid w:val="003E1C01"/>
    <w:rsid w:val="003E401B"/>
    <w:rsid w:val="003F25CA"/>
    <w:rsid w:val="003F713F"/>
    <w:rsid w:val="0041105B"/>
    <w:rsid w:val="00421F40"/>
    <w:rsid w:val="00441D82"/>
    <w:rsid w:val="00454B78"/>
    <w:rsid w:val="00454E09"/>
    <w:rsid w:val="00456E91"/>
    <w:rsid w:val="00464507"/>
    <w:rsid w:val="00466E64"/>
    <w:rsid w:val="004776E9"/>
    <w:rsid w:val="0049332A"/>
    <w:rsid w:val="00494B92"/>
    <w:rsid w:val="0049578E"/>
    <w:rsid w:val="004A0C46"/>
    <w:rsid w:val="004A5156"/>
    <w:rsid w:val="004C3225"/>
    <w:rsid w:val="004E0740"/>
    <w:rsid w:val="004E0AB7"/>
    <w:rsid w:val="004F5642"/>
    <w:rsid w:val="004F58D5"/>
    <w:rsid w:val="00504F5A"/>
    <w:rsid w:val="005257D0"/>
    <w:rsid w:val="00527716"/>
    <w:rsid w:val="005303C2"/>
    <w:rsid w:val="00531C75"/>
    <w:rsid w:val="00536CCD"/>
    <w:rsid w:val="0055347F"/>
    <w:rsid w:val="005636DF"/>
    <w:rsid w:val="00565AAD"/>
    <w:rsid w:val="00566455"/>
    <w:rsid w:val="00567807"/>
    <w:rsid w:val="00567DBD"/>
    <w:rsid w:val="00570089"/>
    <w:rsid w:val="00573E33"/>
    <w:rsid w:val="00577D98"/>
    <w:rsid w:val="00583A6B"/>
    <w:rsid w:val="0058497F"/>
    <w:rsid w:val="00597F2C"/>
    <w:rsid w:val="005A27EA"/>
    <w:rsid w:val="005C08BF"/>
    <w:rsid w:val="005C3CE5"/>
    <w:rsid w:val="005C67B1"/>
    <w:rsid w:val="005D6B5D"/>
    <w:rsid w:val="005D7566"/>
    <w:rsid w:val="005E38B9"/>
    <w:rsid w:val="005F08F4"/>
    <w:rsid w:val="005F3EDA"/>
    <w:rsid w:val="006041D2"/>
    <w:rsid w:val="006059F5"/>
    <w:rsid w:val="00607853"/>
    <w:rsid w:val="00610525"/>
    <w:rsid w:val="0061279B"/>
    <w:rsid w:val="006207DC"/>
    <w:rsid w:val="006227FC"/>
    <w:rsid w:val="006446FA"/>
    <w:rsid w:val="00651B6F"/>
    <w:rsid w:val="00671538"/>
    <w:rsid w:val="00682359"/>
    <w:rsid w:val="006901CC"/>
    <w:rsid w:val="006A7CC6"/>
    <w:rsid w:val="006C063C"/>
    <w:rsid w:val="006C181B"/>
    <w:rsid w:val="006C2F67"/>
    <w:rsid w:val="006C5538"/>
    <w:rsid w:val="006D2EC9"/>
    <w:rsid w:val="006E5DF1"/>
    <w:rsid w:val="006F3455"/>
    <w:rsid w:val="006F383E"/>
    <w:rsid w:val="006F5189"/>
    <w:rsid w:val="00700883"/>
    <w:rsid w:val="00705C30"/>
    <w:rsid w:val="007076EB"/>
    <w:rsid w:val="0071134B"/>
    <w:rsid w:val="00711EA2"/>
    <w:rsid w:val="00713FD4"/>
    <w:rsid w:val="00714C1C"/>
    <w:rsid w:val="0072099B"/>
    <w:rsid w:val="007266EE"/>
    <w:rsid w:val="007317B3"/>
    <w:rsid w:val="00733BE4"/>
    <w:rsid w:val="007379D0"/>
    <w:rsid w:val="00740B5C"/>
    <w:rsid w:val="0075126B"/>
    <w:rsid w:val="00752DEF"/>
    <w:rsid w:val="00765FEC"/>
    <w:rsid w:val="00772843"/>
    <w:rsid w:val="0077534E"/>
    <w:rsid w:val="00782E40"/>
    <w:rsid w:val="00782F5F"/>
    <w:rsid w:val="0079099F"/>
    <w:rsid w:val="007A23E0"/>
    <w:rsid w:val="007A5255"/>
    <w:rsid w:val="007B3B75"/>
    <w:rsid w:val="007C35A2"/>
    <w:rsid w:val="007C5FDF"/>
    <w:rsid w:val="007D6332"/>
    <w:rsid w:val="007D7149"/>
    <w:rsid w:val="007D7A4F"/>
    <w:rsid w:val="007E307C"/>
    <w:rsid w:val="008041F0"/>
    <w:rsid w:val="00810371"/>
    <w:rsid w:val="0081190A"/>
    <w:rsid w:val="00821769"/>
    <w:rsid w:val="00824BD3"/>
    <w:rsid w:val="0083272A"/>
    <w:rsid w:val="00835CB8"/>
    <w:rsid w:val="00836269"/>
    <w:rsid w:val="008440B7"/>
    <w:rsid w:val="0084551C"/>
    <w:rsid w:val="00846C7D"/>
    <w:rsid w:val="00850450"/>
    <w:rsid w:val="0085729E"/>
    <w:rsid w:val="008608A7"/>
    <w:rsid w:val="008620E0"/>
    <w:rsid w:val="0086594E"/>
    <w:rsid w:val="00867AF0"/>
    <w:rsid w:val="00867BC7"/>
    <w:rsid w:val="00874115"/>
    <w:rsid w:val="008802EF"/>
    <w:rsid w:val="00881852"/>
    <w:rsid w:val="00883A21"/>
    <w:rsid w:val="00894C2D"/>
    <w:rsid w:val="00896947"/>
    <w:rsid w:val="00896D4D"/>
    <w:rsid w:val="008A2E15"/>
    <w:rsid w:val="008B429E"/>
    <w:rsid w:val="008B5547"/>
    <w:rsid w:val="008C510E"/>
    <w:rsid w:val="008C7BA7"/>
    <w:rsid w:val="008D324A"/>
    <w:rsid w:val="008E1A71"/>
    <w:rsid w:val="008F41AB"/>
    <w:rsid w:val="008F5AAA"/>
    <w:rsid w:val="00904DFD"/>
    <w:rsid w:val="00912EFB"/>
    <w:rsid w:val="009178FC"/>
    <w:rsid w:val="009179CA"/>
    <w:rsid w:val="00921481"/>
    <w:rsid w:val="0093024A"/>
    <w:rsid w:val="00947462"/>
    <w:rsid w:val="00951C45"/>
    <w:rsid w:val="0095450B"/>
    <w:rsid w:val="009600C0"/>
    <w:rsid w:val="00962FF8"/>
    <w:rsid w:val="00964581"/>
    <w:rsid w:val="009802F9"/>
    <w:rsid w:val="009836A9"/>
    <w:rsid w:val="009A66E6"/>
    <w:rsid w:val="009A6F5D"/>
    <w:rsid w:val="009A769B"/>
    <w:rsid w:val="009B141C"/>
    <w:rsid w:val="009B1C16"/>
    <w:rsid w:val="009B6CB0"/>
    <w:rsid w:val="009E06BA"/>
    <w:rsid w:val="009F338B"/>
    <w:rsid w:val="00A329AE"/>
    <w:rsid w:val="00A3526D"/>
    <w:rsid w:val="00A44BA3"/>
    <w:rsid w:val="00A45F40"/>
    <w:rsid w:val="00A62763"/>
    <w:rsid w:val="00A6334C"/>
    <w:rsid w:val="00A64F4B"/>
    <w:rsid w:val="00A76D69"/>
    <w:rsid w:val="00A91F2A"/>
    <w:rsid w:val="00A95B59"/>
    <w:rsid w:val="00A97C99"/>
    <w:rsid w:val="00AA4FB1"/>
    <w:rsid w:val="00AC3A10"/>
    <w:rsid w:val="00AC44F9"/>
    <w:rsid w:val="00AD5461"/>
    <w:rsid w:val="00AD5B17"/>
    <w:rsid w:val="00AD6341"/>
    <w:rsid w:val="00AD7FAE"/>
    <w:rsid w:val="00AE580B"/>
    <w:rsid w:val="00B048DD"/>
    <w:rsid w:val="00B13040"/>
    <w:rsid w:val="00B1401B"/>
    <w:rsid w:val="00B16847"/>
    <w:rsid w:val="00B20C4C"/>
    <w:rsid w:val="00B318EF"/>
    <w:rsid w:val="00B34F30"/>
    <w:rsid w:val="00B3613D"/>
    <w:rsid w:val="00B5077B"/>
    <w:rsid w:val="00B51059"/>
    <w:rsid w:val="00B53507"/>
    <w:rsid w:val="00B5397D"/>
    <w:rsid w:val="00B66562"/>
    <w:rsid w:val="00B70ECD"/>
    <w:rsid w:val="00B7613C"/>
    <w:rsid w:val="00B81E4B"/>
    <w:rsid w:val="00B83349"/>
    <w:rsid w:val="00B9226F"/>
    <w:rsid w:val="00BA7DC7"/>
    <w:rsid w:val="00BA7E19"/>
    <w:rsid w:val="00BB5ED4"/>
    <w:rsid w:val="00BB7573"/>
    <w:rsid w:val="00BC5123"/>
    <w:rsid w:val="00BD618B"/>
    <w:rsid w:val="00BE0199"/>
    <w:rsid w:val="00C02C62"/>
    <w:rsid w:val="00C14757"/>
    <w:rsid w:val="00C202ED"/>
    <w:rsid w:val="00C272F1"/>
    <w:rsid w:val="00C30203"/>
    <w:rsid w:val="00C36DEA"/>
    <w:rsid w:val="00C456A0"/>
    <w:rsid w:val="00C47587"/>
    <w:rsid w:val="00C507AE"/>
    <w:rsid w:val="00C52F19"/>
    <w:rsid w:val="00C55A4C"/>
    <w:rsid w:val="00C60CE7"/>
    <w:rsid w:val="00C703A7"/>
    <w:rsid w:val="00C72BED"/>
    <w:rsid w:val="00C86461"/>
    <w:rsid w:val="00C86EA6"/>
    <w:rsid w:val="00C878D8"/>
    <w:rsid w:val="00C91AD9"/>
    <w:rsid w:val="00C92353"/>
    <w:rsid w:val="00C94851"/>
    <w:rsid w:val="00C95C2D"/>
    <w:rsid w:val="00CB3CB5"/>
    <w:rsid w:val="00CC4835"/>
    <w:rsid w:val="00CC554C"/>
    <w:rsid w:val="00CC5DF2"/>
    <w:rsid w:val="00CE4A26"/>
    <w:rsid w:val="00CF6B0F"/>
    <w:rsid w:val="00CF6EC2"/>
    <w:rsid w:val="00D01FFA"/>
    <w:rsid w:val="00D11E05"/>
    <w:rsid w:val="00D16118"/>
    <w:rsid w:val="00D163AC"/>
    <w:rsid w:val="00D22F1D"/>
    <w:rsid w:val="00D32B4F"/>
    <w:rsid w:val="00D45E84"/>
    <w:rsid w:val="00D610DC"/>
    <w:rsid w:val="00D6402B"/>
    <w:rsid w:val="00D65358"/>
    <w:rsid w:val="00D71353"/>
    <w:rsid w:val="00D876A8"/>
    <w:rsid w:val="00DA7D06"/>
    <w:rsid w:val="00DB01B4"/>
    <w:rsid w:val="00DB0D2B"/>
    <w:rsid w:val="00DB3BFE"/>
    <w:rsid w:val="00DB511E"/>
    <w:rsid w:val="00DC0221"/>
    <w:rsid w:val="00DC780D"/>
    <w:rsid w:val="00DD3EDC"/>
    <w:rsid w:val="00DD4E9E"/>
    <w:rsid w:val="00DE6CCB"/>
    <w:rsid w:val="00DF0E76"/>
    <w:rsid w:val="00E00ECC"/>
    <w:rsid w:val="00E01C50"/>
    <w:rsid w:val="00E04EC5"/>
    <w:rsid w:val="00E123DA"/>
    <w:rsid w:val="00E16AA1"/>
    <w:rsid w:val="00E21E3B"/>
    <w:rsid w:val="00E30838"/>
    <w:rsid w:val="00E350AF"/>
    <w:rsid w:val="00E50A13"/>
    <w:rsid w:val="00E5675F"/>
    <w:rsid w:val="00E630B5"/>
    <w:rsid w:val="00E6744E"/>
    <w:rsid w:val="00E70E6F"/>
    <w:rsid w:val="00E71C72"/>
    <w:rsid w:val="00E83BFC"/>
    <w:rsid w:val="00EA16CA"/>
    <w:rsid w:val="00EC03EA"/>
    <w:rsid w:val="00EC3498"/>
    <w:rsid w:val="00EC4DFE"/>
    <w:rsid w:val="00EF0AF0"/>
    <w:rsid w:val="00EF48C3"/>
    <w:rsid w:val="00EF67B2"/>
    <w:rsid w:val="00F105C8"/>
    <w:rsid w:val="00F13A90"/>
    <w:rsid w:val="00F278D7"/>
    <w:rsid w:val="00F37D5D"/>
    <w:rsid w:val="00F6005D"/>
    <w:rsid w:val="00F62A28"/>
    <w:rsid w:val="00F64874"/>
    <w:rsid w:val="00F717D7"/>
    <w:rsid w:val="00F83DD2"/>
    <w:rsid w:val="00F85CAC"/>
    <w:rsid w:val="00FC131F"/>
    <w:rsid w:val="00FC4C3A"/>
    <w:rsid w:val="00FD11DA"/>
    <w:rsid w:val="00FD305B"/>
    <w:rsid w:val="00FE3B01"/>
    <w:rsid w:val="00FF4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E145"/>
  <w15:docId w15:val="{5EF08ECC-3C4C-4268-9E89-AD382E59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EC03EA"/>
    <w:pPr>
      <w:widowControl w:val="0"/>
      <w:spacing w:before="16" w:after="0" w:line="240" w:lineRule="auto"/>
      <w:ind w:left="120"/>
      <w:outlineLvl w:val="0"/>
    </w:pPr>
    <w:rPr>
      <w:rFonts w:ascii="Montserrat-SemiBold" w:eastAsia="Montserrat-SemiBold" w:hAnsi="Montserrat-SemiBold"/>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1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EC03EA"/>
    <w:rPr>
      <w:rFonts w:ascii="Montserrat-SemiBold" w:eastAsia="Montserrat-SemiBold" w:hAnsi="Montserrat-SemiBold"/>
      <w:b/>
      <w:bCs/>
      <w:sz w:val="28"/>
      <w:szCs w:val="28"/>
      <w:lang w:val="en-US"/>
    </w:rPr>
  </w:style>
  <w:style w:type="paragraph" w:styleId="BalloonText">
    <w:name w:val="Balloon Text"/>
    <w:basedOn w:val="Normal"/>
    <w:link w:val="BalloonTextChar"/>
    <w:uiPriority w:val="99"/>
    <w:semiHidden/>
    <w:unhideWhenUsed/>
    <w:rsid w:val="00BB7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573"/>
    <w:rPr>
      <w:rFonts w:ascii="Tahoma" w:hAnsi="Tahoma" w:cs="Tahoma"/>
      <w:sz w:val="16"/>
      <w:szCs w:val="16"/>
    </w:rPr>
  </w:style>
  <w:style w:type="character" w:styleId="CommentReference">
    <w:name w:val="annotation reference"/>
    <w:basedOn w:val="DefaultParagraphFont"/>
    <w:uiPriority w:val="99"/>
    <w:semiHidden/>
    <w:unhideWhenUsed/>
    <w:rsid w:val="00187995"/>
    <w:rPr>
      <w:sz w:val="16"/>
      <w:szCs w:val="16"/>
    </w:rPr>
  </w:style>
  <w:style w:type="paragraph" w:styleId="CommentText">
    <w:name w:val="annotation text"/>
    <w:basedOn w:val="Normal"/>
    <w:link w:val="CommentTextChar"/>
    <w:uiPriority w:val="99"/>
    <w:unhideWhenUsed/>
    <w:rsid w:val="00187995"/>
    <w:pPr>
      <w:spacing w:line="240" w:lineRule="auto"/>
    </w:pPr>
    <w:rPr>
      <w:sz w:val="20"/>
      <w:szCs w:val="20"/>
    </w:rPr>
  </w:style>
  <w:style w:type="character" w:customStyle="1" w:styleId="CommentTextChar">
    <w:name w:val="Comment Text Char"/>
    <w:basedOn w:val="DefaultParagraphFont"/>
    <w:link w:val="CommentText"/>
    <w:uiPriority w:val="99"/>
    <w:rsid w:val="00187995"/>
    <w:rPr>
      <w:sz w:val="20"/>
      <w:szCs w:val="20"/>
    </w:rPr>
  </w:style>
  <w:style w:type="paragraph" w:styleId="CommentSubject">
    <w:name w:val="annotation subject"/>
    <w:basedOn w:val="CommentText"/>
    <w:next w:val="CommentText"/>
    <w:link w:val="CommentSubjectChar"/>
    <w:uiPriority w:val="99"/>
    <w:semiHidden/>
    <w:unhideWhenUsed/>
    <w:rsid w:val="00187995"/>
    <w:rPr>
      <w:b/>
      <w:bCs/>
    </w:rPr>
  </w:style>
  <w:style w:type="character" w:customStyle="1" w:styleId="CommentSubjectChar">
    <w:name w:val="Comment Subject Char"/>
    <w:basedOn w:val="CommentTextChar"/>
    <w:link w:val="CommentSubject"/>
    <w:uiPriority w:val="99"/>
    <w:semiHidden/>
    <w:rsid w:val="001879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0382975">
      <w:bodyDiv w:val="1"/>
      <w:marLeft w:val="0"/>
      <w:marRight w:val="0"/>
      <w:marTop w:val="0"/>
      <w:marBottom w:val="0"/>
      <w:divBdr>
        <w:top w:val="none" w:sz="0" w:space="0" w:color="auto"/>
        <w:left w:val="none" w:sz="0" w:space="0" w:color="auto"/>
        <w:bottom w:val="none" w:sz="0" w:space="0" w:color="auto"/>
        <w:right w:val="none" w:sz="0" w:space="0" w:color="auto"/>
      </w:divBdr>
    </w:div>
    <w:div w:id="192337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North Star">
  <a:themeElements>
    <a:clrScheme name="North Star">
      <a:dk1>
        <a:sysClr val="windowText" lastClr="000000"/>
      </a:dk1>
      <a:lt1>
        <a:sysClr val="window" lastClr="FFFFFF"/>
      </a:lt1>
      <a:dk2>
        <a:srgbClr val="1F497D"/>
      </a:dk2>
      <a:lt2>
        <a:srgbClr val="EEECE1"/>
      </a:lt2>
      <a:accent1>
        <a:srgbClr val="004A8B"/>
      </a:accent1>
      <a:accent2>
        <a:srgbClr val="1BAEE5"/>
      </a:accent2>
      <a:accent3>
        <a:srgbClr val="AFCA0B"/>
      </a:accent3>
      <a:accent4>
        <a:srgbClr val="00A092"/>
      </a:accent4>
      <a:accent5>
        <a:srgbClr val="4BACC6"/>
      </a:accent5>
      <a:accent6>
        <a:srgbClr val="F79646"/>
      </a:accent6>
      <a:hlink>
        <a:srgbClr val="0000FF"/>
      </a:hlink>
      <a:folHlink>
        <a:srgbClr val="800080"/>
      </a:folHlink>
    </a:clrScheme>
    <a:fontScheme name="North Star">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47E7AE6AAD52C4EB1A1838D9972B64A" ma:contentTypeVersion="4" ma:contentTypeDescription="Create a new document." ma:contentTypeScope="" ma:versionID="1cbbce11ee609644a6927c9eb35379b6">
  <xsd:schema xmlns:xsd="http://www.w3.org/2001/XMLSchema" xmlns:xs="http://www.w3.org/2001/XMLSchema" xmlns:p="http://schemas.microsoft.com/office/2006/metadata/properties" xmlns:ns3="ad7a1acc-2308-45fc-8bfe-743ebfc37e73" targetNamespace="http://schemas.microsoft.com/office/2006/metadata/properties" ma:root="true" ma:fieldsID="c78b4d81ec8158dc7ff502fc3dde9fd0" ns3:_="">
    <xsd:import namespace="ad7a1acc-2308-45fc-8bfe-743ebfc37e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a1acc-2308-45fc-8bfe-743ebfc37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F7063D-E9DD-4E1F-B369-89BA949E75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838B5A-5925-4727-A6A2-1BAFBCBB5509}">
  <ds:schemaRefs>
    <ds:schemaRef ds:uri="http://schemas.openxmlformats.org/officeDocument/2006/bibliography"/>
  </ds:schemaRefs>
</ds:datastoreItem>
</file>

<file path=customXml/itemProps3.xml><?xml version="1.0" encoding="utf-8"?>
<ds:datastoreItem xmlns:ds="http://schemas.openxmlformats.org/officeDocument/2006/customXml" ds:itemID="{C916B87F-DB47-48AA-BCB4-30B719091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a1acc-2308-45fc-8bfe-743ebfc37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1026FC-0A9E-4CC3-B255-87241EEE98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Your Organization Name</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Richardson</dc:creator>
  <cp:lastModifiedBy>Katherine Allen</cp:lastModifiedBy>
  <cp:revision>11</cp:revision>
  <cp:lastPrinted>2020-01-31T14:24:00Z</cp:lastPrinted>
  <dcterms:created xsi:type="dcterms:W3CDTF">2022-08-23T13:48:00Z</dcterms:created>
  <dcterms:modified xsi:type="dcterms:W3CDTF">2022-09-30T10:41:00Z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0x010100647E7AE6AAD52C4EB1A1838D9972B64A</vt:lpwstr>
  </property>
</Properties>
</file>