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7E145" w14:textId="77777777" w:rsidR="00EA16CA" w:rsidRDefault="00EA16CA" w:rsidP="00EA16CA">
      <w:pPr>
        <w:ind w:left="5040" w:firstLine="720"/>
        <w:jc w:val="center"/>
        <w:rPr>
          <w:sz w:val="24"/>
          <w:szCs w:val="24"/>
        </w:rPr>
      </w:pPr>
      <w:r>
        <w:rPr>
          <w:rFonts w:ascii="Montserrat-SemiBold" w:eastAsia="Montserrat-SemiBold" w:hAnsi="Montserrat-SemiBold" w:cs="Montserrat-SemiBold"/>
          <w:b/>
          <w:bCs/>
          <w:noProof/>
          <w:sz w:val="23"/>
          <w:szCs w:val="23"/>
          <w:lang w:eastAsia="en-GB"/>
        </w:rPr>
        <w:drawing>
          <wp:inline distT="0" distB="0" distL="0" distR="0" wp14:anchorId="5017E19E" wp14:editId="5017E19F">
            <wp:extent cx="20574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Star-logo-STRAP-COLOUR.jpg"/>
                    <pic:cNvPicPr/>
                  </pic:nvPicPr>
                  <pic:blipFill>
                    <a:blip r:embed="rId8">
                      <a:extLst>
                        <a:ext uri="{28A0092B-C50C-407E-A947-70E740481C1C}">
                          <a14:useLocalDpi xmlns:a14="http://schemas.microsoft.com/office/drawing/2010/main" val="0"/>
                        </a:ext>
                      </a:extLst>
                    </a:blip>
                    <a:stretch>
                      <a:fillRect/>
                    </a:stretch>
                  </pic:blipFill>
                  <pic:spPr>
                    <a:xfrm>
                      <a:off x="0" y="0"/>
                      <a:ext cx="2057400" cy="609600"/>
                    </a:xfrm>
                    <a:prstGeom prst="rect">
                      <a:avLst/>
                    </a:prstGeom>
                  </pic:spPr>
                </pic:pic>
              </a:graphicData>
            </a:graphic>
          </wp:inline>
        </w:drawing>
      </w:r>
    </w:p>
    <w:p w14:paraId="5017E146" w14:textId="72F2AC05" w:rsidR="00EA16CA" w:rsidRPr="00EC03EA" w:rsidRDefault="005D6B5D" w:rsidP="00607853">
      <w:pPr>
        <w:tabs>
          <w:tab w:val="left" w:pos="2610"/>
        </w:tabs>
        <w:spacing w:line="247" w:lineRule="auto"/>
        <w:ind w:right="78"/>
        <w:jc w:val="center"/>
        <w:rPr>
          <w:rFonts w:ascii="Montserrat" w:eastAsia="Hero" w:hAnsi="Montserrat" w:cs="Hero"/>
          <w:b/>
          <w:color w:val="1BAEE5"/>
          <w:sz w:val="32"/>
          <w:szCs w:val="32"/>
        </w:rPr>
      </w:pPr>
      <w:r>
        <w:rPr>
          <w:rFonts w:ascii="Montserrat" w:eastAsia="Hero" w:hAnsi="Montserrat" w:cs="Hero"/>
          <w:b/>
          <w:color w:val="1BAEE5"/>
          <w:sz w:val="32"/>
          <w:szCs w:val="32"/>
        </w:rPr>
        <w:t>Performance as at</w:t>
      </w:r>
      <w:r w:rsidR="00740B5C">
        <w:rPr>
          <w:rFonts w:ascii="Montserrat" w:eastAsia="Hero" w:hAnsi="Montserrat" w:cs="Hero"/>
          <w:b/>
          <w:color w:val="1BAEE5"/>
          <w:sz w:val="32"/>
          <w:szCs w:val="32"/>
        </w:rPr>
        <w:t xml:space="preserve"> </w:t>
      </w:r>
      <w:r w:rsidR="002B0FD7">
        <w:rPr>
          <w:rFonts w:ascii="Montserrat" w:eastAsia="Hero" w:hAnsi="Montserrat" w:cs="Hero"/>
          <w:b/>
          <w:color w:val="1BAEE5"/>
          <w:sz w:val="32"/>
          <w:szCs w:val="32"/>
        </w:rPr>
        <w:t>March</w:t>
      </w:r>
      <w:r w:rsidR="00607853">
        <w:rPr>
          <w:rFonts w:ascii="Montserrat" w:eastAsia="Hero" w:hAnsi="Montserrat" w:cs="Hero"/>
          <w:b/>
          <w:color w:val="1BAEE5"/>
          <w:sz w:val="32"/>
          <w:szCs w:val="32"/>
        </w:rPr>
        <w:t xml:space="preserve"> 202</w:t>
      </w:r>
      <w:r w:rsidR="009A6F5D">
        <w:rPr>
          <w:rFonts w:ascii="Montserrat" w:eastAsia="Hero" w:hAnsi="Montserrat" w:cs="Hero"/>
          <w:b/>
          <w:color w:val="1BAEE5"/>
          <w:sz w:val="32"/>
          <w:szCs w:val="32"/>
        </w:rPr>
        <w:t>2</w:t>
      </w:r>
    </w:p>
    <w:tbl>
      <w:tblPr>
        <w:tblStyle w:val="TableGrid"/>
        <w:tblW w:w="0" w:type="auto"/>
        <w:tblLook w:val="04A0" w:firstRow="1" w:lastRow="0" w:firstColumn="1" w:lastColumn="0" w:noHBand="0" w:noVBand="1"/>
      </w:tblPr>
      <w:tblGrid>
        <w:gridCol w:w="4757"/>
        <w:gridCol w:w="1121"/>
        <w:gridCol w:w="1828"/>
        <w:gridCol w:w="1310"/>
      </w:tblGrid>
      <w:tr w:rsidR="00EA16CA" w14:paraId="5017E148" w14:textId="77777777" w:rsidTr="00B5397D">
        <w:tc>
          <w:tcPr>
            <w:tcW w:w="9016" w:type="dxa"/>
            <w:gridSpan w:val="4"/>
            <w:shd w:val="clear" w:color="auto" w:fill="00B0F0"/>
          </w:tcPr>
          <w:p w14:paraId="5017E147" w14:textId="77777777" w:rsidR="00EA16CA" w:rsidRPr="00EA16CA" w:rsidRDefault="00C94851" w:rsidP="00EA16CA">
            <w:pPr>
              <w:jc w:val="center"/>
              <w:rPr>
                <w:b/>
                <w:sz w:val="28"/>
                <w:szCs w:val="28"/>
              </w:rPr>
            </w:pPr>
            <w:r>
              <w:rPr>
                <w:b/>
                <w:color w:val="FFFFFF" w:themeColor="background1"/>
                <w:sz w:val="28"/>
                <w:szCs w:val="28"/>
              </w:rPr>
              <w:t xml:space="preserve">Delivering </w:t>
            </w:r>
            <w:r w:rsidR="00EA16CA" w:rsidRPr="00EA16CA">
              <w:rPr>
                <w:b/>
                <w:color w:val="FFFFFF" w:themeColor="background1"/>
                <w:sz w:val="28"/>
                <w:szCs w:val="28"/>
              </w:rPr>
              <w:t>Maintenance Service</w:t>
            </w:r>
          </w:p>
        </w:tc>
      </w:tr>
      <w:tr w:rsidR="00EA16CA" w14:paraId="5017E14D" w14:textId="77777777" w:rsidTr="00B5397D">
        <w:tc>
          <w:tcPr>
            <w:tcW w:w="4757" w:type="dxa"/>
            <w:shd w:val="clear" w:color="auto" w:fill="A3DEF4" w:themeFill="accent2" w:themeFillTint="66"/>
          </w:tcPr>
          <w:p w14:paraId="5017E149" w14:textId="77777777" w:rsidR="00EA16CA" w:rsidRPr="00EC03EA" w:rsidRDefault="00EA16CA" w:rsidP="00EA16CA">
            <w:pPr>
              <w:rPr>
                <w:b/>
                <w:sz w:val="20"/>
                <w:szCs w:val="20"/>
              </w:rPr>
            </w:pPr>
            <w:r w:rsidRPr="00EC03EA">
              <w:rPr>
                <w:b/>
                <w:sz w:val="20"/>
                <w:szCs w:val="20"/>
              </w:rPr>
              <w:t>Indicator</w:t>
            </w:r>
          </w:p>
        </w:tc>
        <w:tc>
          <w:tcPr>
            <w:tcW w:w="1121" w:type="dxa"/>
            <w:shd w:val="clear" w:color="auto" w:fill="A3DEF4" w:themeFill="accent2" w:themeFillTint="66"/>
          </w:tcPr>
          <w:p w14:paraId="5017E14A" w14:textId="77777777" w:rsidR="00EA16CA" w:rsidRPr="00EC03EA" w:rsidRDefault="00EA16CA" w:rsidP="00EA16CA">
            <w:pPr>
              <w:jc w:val="center"/>
              <w:rPr>
                <w:b/>
                <w:sz w:val="20"/>
                <w:szCs w:val="20"/>
              </w:rPr>
            </w:pPr>
            <w:r w:rsidRPr="00EC03EA">
              <w:rPr>
                <w:b/>
                <w:sz w:val="20"/>
                <w:szCs w:val="20"/>
              </w:rPr>
              <w:t>Target</w:t>
            </w:r>
          </w:p>
        </w:tc>
        <w:tc>
          <w:tcPr>
            <w:tcW w:w="1828" w:type="dxa"/>
            <w:shd w:val="clear" w:color="auto" w:fill="A3DEF4" w:themeFill="accent2" w:themeFillTint="66"/>
          </w:tcPr>
          <w:p w14:paraId="5017E14B" w14:textId="77777777" w:rsidR="00EA16CA" w:rsidRPr="00EC03EA" w:rsidRDefault="00EA16CA" w:rsidP="00EA16CA">
            <w:pPr>
              <w:jc w:val="center"/>
              <w:rPr>
                <w:b/>
                <w:sz w:val="20"/>
                <w:szCs w:val="20"/>
              </w:rPr>
            </w:pPr>
            <w:r w:rsidRPr="00EC03EA">
              <w:rPr>
                <w:b/>
                <w:sz w:val="20"/>
                <w:szCs w:val="20"/>
              </w:rPr>
              <w:t>Performance</w:t>
            </w:r>
          </w:p>
        </w:tc>
        <w:tc>
          <w:tcPr>
            <w:tcW w:w="1310" w:type="dxa"/>
            <w:shd w:val="clear" w:color="auto" w:fill="A3DEF4" w:themeFill="accent2" w:themeFillTint="66"/>
          </w:tcPr>
          <w:p w14:paraId="5017E14C" w14:textId="77777777" w:rsidR="00EA16CA" w:rsidRPr="00EC03EA" w:rsidRDefault="00EA16CA" w:rsidP="00EA16CA">
            <w:pPr>
              <w:jc w:val="center"/>
              <w:rPr>
                <w:b/>
                <w:sz w:val="20"/>
                <w:szCs w:val="20"/>
              </w:rPr>
            </w:pPr>
            <w:r w:rsidRPr="00EC03EA">
              <w:rPr>
                <w:b/>
                <w:sz w:val="20"/>
                <w:szCs w:val="20"/>
              </w:rPr>
              <w:t>How are we doing</w:t>
            </w:r>
          </w:p>
        </w:tc>
      </w:tr>
      <w:tr w:rsidR="00454E09" w14:paraId="5017E15C" w14:textId="77777777" w:rsidTr="00BE0199">
        <w:trPr>
          <w:trHeight w:val="481"/>
        </w:trPr>
        <w:tc>
          <w:tcPr>
            <w:tcW w:w="4757" w:type="dxa"/>
          </w:tcPr>
          <w:p w14:paraId="5017E158" w14:textId="77777777" w:rsidR="00454E09" w:rsidRPr="00EC03EA" w:rsidRDefault="00454E09" w:rsidP="00EA16CA">
            <w:pPr>
              <w:rPr>
                <w:sz w:val="20"/>
                <w:szCs w:val="20"/>
              </w:rPr>
            </w:pPr>
            <w:r w:rsidRPr="00EC03EA">
              <w:rPr>
                <w:sz w:val="20"/>
                <w:szCs w:val="20"/>
              </w:rPr>
              <w:t>% of homes with a valid gas safety certificate</w:t>
            </w:r>
          </w:p>
        </w:tc>
        <w:tc>
          <w:tcPr>
            <w:tcW w:w="1121" w:type="dxa"/>
          </w:tcPr>
          <w:p w14:paraId="5017E159" w14:textId="77777777" w:rsidR="00454E09" w:rsidRPr="00EC03EA" w:rsidRDefault="00454E09" w:rsidP="00EA16CA">
            <w:pPr>
              <w:jc w:val="center"/>
              <w:rPr>
                <w:sz w:val="20"/>
                <w:szCs w:val="20"/>
              </w:rPr>
            </w:pPr>
            <w:r w:rsidRPr="00EC03EA">
              <w:rPr>
                <w:sz w:val="20"/>
                <w:szCs w:val="20"/>
              </w:rPr>
              <w:t>100%</w:t>
            </w:r>
          </w:p>
        </w:tc>
        <w:tc>
          <w:tcPr>
            <w:tcW w:w="1828" w:type="dxa"/>
          </w:tcPr>
          <w:p w14:paraId="5017E15A" w14:textId="0319E281" w:rsidR="00454E09" w:rsidRPr="00EC03EA" w:rsidRDefault="00962FF8" w:rsidP="00EA16CA">
            <w:pPr>
              <w:jc w:val="center"/>
              <w:rPr>
                <w:sz w:val="20"/>
                <w:szCs w:val="20"/>
              </w:rPr>
            </w:pPr>
            <w:r>
              <w:rPr>
                <w:sz w:val="20"/>
                <w:szCs w:val="20"/>
              </w:rPr>
              <w:t>99.8%</w:t>
            </w:r>
          </w:p>
        </w:tc>
        <w:tc>
          <w:tcPr>
            <w:tcW w:w="1310" w:type="dxa"/>
          </w:tcPr>
          <w:p w14:paraId="5017E15B" w14:textId="1A9AF23F" w:rsidR="00454E09" w:rsidRPr="00EC03EA" w:rsidRDefault="007D6332" w:rsidP="00EA16CA">
            <w:pPr>
              <w:jc w:val="center"/>
              <w:rPr>
                <w:sz w:val="20"/>
                <w:szCs w:val="20"/>
              </w:rPr>
            </w:pPr>
            <w:r w:rsidRPr="00EC03EA">
              <w:rPr>
                <w:rFonts w:ascii="Montserrat" w:hAnsi="Montserrat"/>
                <w:b/>
                <w:noProof/>
                <w:sz w:val="20"/>
                <w:szCs w:val="20"/>
                <w:lang w:eastAsia="en-GB"/>
              </w:rPr>
              <w:drawing>
                <wp:inline distT="0" distB="0" distL="0" distR="0" wp14:anchorId="454C2A76" wp14:editId="1605C6F6">
                  <wp:extent cx="321468" cy="25717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102" cy="264082"/>
                          </a:xfrm>
                          <a:prstGeom prst="rect">
                            <a:avLst/>
                          </a:prstGeom>
                          <a:noFill/>
                        </pic:spPr>
                      </pic:pic>
                    </a:graphicData>
                  </a:graphic>
                </wp:inline>
              </w:drawing>
            </w:r>
          </w:p>
        </w:tc>
      </w:tr>
      <w:tr w:rsidR="00FD11DA" w14:paraId="36197E3C" w14:textId="77777777" w:rsidTr="00BE0199">
        <w:trPr>
          <w:trHeight w:val="481"/>
        </w:trPr>
        <w:tc>
          <w:tcPr>
            <w:tcW w:w="4757" w:type="dxa"/>
          </w:tcPr>
          <w:p w14:paraId="01E086E8" w14:textId="7BDD0340" w:rsidR="00FD11DA" w:rsidRPr="00EC03EA" w:rsidRDefault="00FD11DA" w:rsidP="00FD11DA">
            <w:pPr>
              <w:rPr>
                <w:sz w:val="20"/>
                <w:szCs w:val="20"/>
              </w:rPr>
            </w:pPr>
            <w:r w:rsidRPr="00EC03EA">
              <w:rPr>
                <w:sz w:val="20"/>
                <w:szCs w:val="20"/>
              </w:rPr>
              <w:t>% Tenant satisfaction</w:t>
            </w:r>
            <w:r>
              <w:rPr>
                <w:sz w:val="20"/>
                <w:szCs w:val="20"/>
              </w:rPr>
              <w:t xml:space="preserve"> with repair</w:t>
            </w:r>
          </w:p>
        </w:tc>
        <w:tc>
          <w:tcPr>
            <w:tcW w:w="1121" w:type="dxa"/>
          </w:tcPr>
          <w:p w14:paraId="1DA41EF1" w14:textId="61C53E0E" w:rsidR="00FD11DA" w:rsidRPr="00EC03EA" w:rsidRDefault="00FD11DA" w:rsidP="00FD11DA">
            <w:pPr>
              <w:jc w:val="center"/>
              <w:rPr>
                <w:sz w:val="20"/>
                <w:szCs w:val="20"/>
              </w:rPr>
            </w:pPr>
            <w:r w:rsidRPr="00EC03EA">
              <w:rPr>
                <w:sz w:val="20"/>
                <w:szCs w:val="20"/>
              </w:rPr>
              <w:t>92%</w:t>
            </w:r>
          </w:p>
        </w:tc>
        <w:tc>
          <w:tcPr>
            <w:tcW w:w="1828" w:type="dxa"/>
          </w:tcPr>
          <w:p w14:paraId="3C43C0EC" w14:textId="387F0A15" w:rsidR="00FD11DA" w:rsidRDefault="006F5189" w:rsidP="00FD11DA">
            <w:pPr>
              <w:jc w:val="center"/>
              <w:rPr>
                <w:sz w:val="20"/>
                <w:szCs w:val="20"/>
              </w:rPr>
            </w:pPr>
            <w:r>
              <w:rPr>
                <w:sz w:val="20"/>
                <w:szCs w:val="20"/>
              </w:rPr>
              <w:t>92.2%</w:t>
            </w:r>
          </w:p>
        </w:tc>
        <w:tc>
          <w:tcPr>
            <w:tcW w:w="1310" w:type="dxa"/>
          </w:tcPr>
          <w:p w14:paraId="0E4CDF26" w14:textId="14C2D3CF" w:rsidR="00FD11DA" w:rsidRPr="00EC03EA" w:rsidRDefault="006F5189" w:rsidP="00FD11DA">
            <w:pPr>
              <w:jc w:val="center"/>
              <w:rPr>
                <w:rFonts w:ascii="Montserrat" w:hAnsi="Montserrat"/>
                <w:b/>
                <w:noProof/>
                <w:sz w:val="20"/>
                <w:szCs w:val="20"/>
                <w:lang w:eastAsia="en-GB"/>
              </w:rPr>
            </w:pPr>
            <w:r w:rsidRPr="008C510E">
              <w:rPr>
                <w:rFonts w:ascii="Montserrat" w:hAnsi="Montserrat"/>
                <w:noProof/>
                <w:sz w:val="20"/>
                <w:szCs w:val="20"/>
                <w:lang w:eastAsia="en-GB"/>
              </w:rPr>
              <w:drawing>
                <wp:inline distT="0" distB="0" distL="0" distR="0" wp14:anchorId="11447076" wp14:editId="099B248E">
                  <wp:extent cx="285750" cy="285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879" cy="298879"/>
                          </a:xfrm>
                          <a:prstGeom prst="rect">
                            <a:avLst/>
                          </a:prstGeom>
                          <a:noFill/>
                        </pic:spPr>
                      </pic:pic>
                    </a:graphicData>
                  </a:graphic>
                </wp:inline>
              </w:drawing>
            </w:r>
          </w:p>
        </w:tc>
      </w:tr>
      <w:tr w:rsidR="00FD11DA" w14:paraId="043505E7" w14:textId="77777777" w:rsidTr="00213CE8">
        <w:tc>
          <w:tcPr>
            <w:tcW w:w="9016" w:type="dxa"/>
            <w:gridSpan w:val="4"/>
          </w:tcPr>
          <w:p w14:paraId="16B75CAB" w14:textId="3E0F5F51" w:rsidR="00FD11DA" w:rsidRDefault="00FD11DA" w:rsidP="00FD11DA">
            <w:pPr>
              <w:rPr>
                <w:rFonts w:ascii="Montserrat" w:hAnsi="Montserrat"/>
                <w:b/>
                <w:noProof/>
                <w:sz w:val="20"/>
                <w:szCs w:val="20"/>
                <w:lang w:eastAsia="en-GB"/>
              </w:rPr>
            </w:pPr>
            <w:r>
              <w:rPr>
                <w:rFonts w:ascii="Montserrat" w:hAnsi="Montserrat"/>
                <w:b/>
                <w:noProof/>
                <w:sz w:val="20"/>
                <w:szCs w:val="20"/>
                <w:lang w:eastAsia="en-GB"/>
              </w:rPr>
              <w:t>Homes with a valid gas safety certificate</w:t>
            </w:r>
            <w:r w:rsidR="00867AF0">
              <w:rPr>
                <w:rFonts w:ascii="Montserrat" w:hAnsi="Montserrat"/>
                <w:b/>
                <w:noProof/>
                <w:sz w:val="20"/>
                <w:szCs w:val="20"/>
                <w:lang w:eastAsia="en-GB"/>
              </w:rPr>
              <w:t>:</w:t>
            </w:r>
          </w:p>
          <w:p w14:paraId="6176FBF4" w14:textId="77777777" w:rsidR="00E30838" w:rsidRPr="00E30838" w:rsidRDefault="00E30838" w:rsidP="00E30838">
            <w:pPr>
              <w:rPr>
                <w:rFonts w:ascii="Montserrat" w:hAnsi="Montserrat"/>
                <w:sz w:val="20"/>
                <w:szCs w:val="20"/>
              </w:rPr>
            </w:pPr>
            <w:r w:rsidRPr="00E30838">
              <w:rPr>
                <w:rFonts w:ascii="Montserrat" w:hAnsi="Montserrat"/>
                <w:sz w:val="20"/>
                <w:szCs w:val="20"/>
              </w:rPr>
              <w:t>There were five properties which had not received a gas service within the last 12 months at the end of March.</w:t>
            </w:r>
          </w:p>
          <w:p w14:paraId="2CACA0AD" w14:textId="77777777" w:rsidR="00E30838" w:rsidRPr="00E30838" w:rsidRDefault="00E30838" w:rsidP="00E30838">
            <w:pPr>
              <w:rPr>
                <w:rFonts w:ascii="Montserrat" w:hAnsi="Montserrat"/>
                <w:sz w:val="20"/>
                <w:szCs w:val="20"/>
              </w:rPr>
            </w:pPr>
          </w:p>
          <w:p w14:paraId="3A5FB1CE" w14:textId="16290763" w:rsidR="002B0FD7" w:rsidRPr="00E30838" w:rsidRDefault="00E30838" w:rsidP="002B0FD7">
            <w:pPr>
              <w:rPr>
                <w:rFonts w:ascii="Montserrat" w:hAnsi="Montserrat"/>
                <w:sz w:val="20"/>
                <w:szCs w:val="20"/>
              </w:rPr>
            </w:pPr>
            <w:r w:rsidRPr="00E30838">
              <w:rPr>
                <w:rFonts w:ascii="Montserrat" w:hAnsi="Montserrat"/>
                <w:sz w:val="20"/>
                <w:szCs w:val="20"/>
              </w:rPr>
              <w:t>One of these has now been complete, two are going through the abandonment process and two have appointments booked for 27</w:t>
            </w:r>
            <w:r w:rsidRPr="00E30838">
              <w:rPr>
                <w:rFonts w:ascii="Montserrat" w:hAnsi="Montserrat"/>
                <w:sz w:val="20"/>
                <w:szCs w:val="20"/>
                <w:vertAlign w:val="superscript"/>
              </w:rPr>
              <w:t>th</w:t>
            </w:r>
            <w:r w:rsidRPr="00E30838">
              <w:rPr>
                <w:rFonts w:ascii="Montserrat" w:hAnsi="Montserrat"/>
                <w:sz w:val="20"/>
                <w:szCs w:val="20"/>
              </w:rPr>
              <w:t xml:space="preserve"> April 2022.</w:t>
            </w:r>
          </w:p>
        </w:tc>
      </w:tr>
    </w:tbl>
    <w:p w14:paraId="5017E168" w14:textId="77777777" w:rsidR="00C94851" w:rsidRDefault="00C94851" w:rsidP="00C94851">
      <w:pPr>
        <w:rPr>
          <w:sz w:val="24"/>
          <w:szCs w:val="24"/>
        </w:rPr>
      </w:pPr>
    </w:p>
    <w:tbl>
      <w:tblPr>
        <w:tblStyle w:val="TableGrid"/>
        <w:tblW w:w="0" w:type="auto"/>
        <w:tblLook w:val="04A0" w:firstRow="1" w:lastRow="0" w:firstColumn="1" w:lastColumn="0" w:noHBand="0" w:noVBand="1"/>
      </w:tblPr>
      <w:tblGrid>
        <w:gridCol w:w="4743"/>
        <w:gridCol w:w="1125"/>
        <w:gridCol w:w="1835"/>
        <w:gridCol w:w="1313"/>
      </w:tblGrid>
      <w:tr w:rsidR="00C94851" w:rsidRPr="00EA16CA" w14:paraId="5017E16A" w14:textId="77777777" w:rsidTr="00BB7573">
        <w:tc>
          <w:tcPr>
            <w:tcW w:w="9242" w:type="dxa"/>
            <w:gridSpan w:val="4"/>
            <w:shd w:val="clear" w:color="auto" w:fill="00B0F0"/>
          </w:tcPr>
          <w:p w14:paraId="5017E169" w14:textId="77777777" w:rsidR="00C94851" w:rsidRPr="00EA16CA" w:rsidRDefault="00C94851" w:rsidP="00C94851">
            <w:pPr>
              <w:jc w:val="center"/>
              <w:rPr>
                <w:b/>
                <w:sz w:val="28"/>
                <w:szCs w:val="28"/>
              </w:rPr>
            </w:pPr>
            <w:r>
              <w:rPr>
                <w:b/>
                <w:color w:val="FFFFFF" w:themeColor="background1"/>
                <w:sz w:val="28"/>
                <w:szCs w:val="28"/>
              </w:rPr>
              <w:t>Managing Empty Homes</w:t>
            </w:r>
          </w:p>
        </w:tc>
      </w:tr>
      <w:tr w:rsidR="00C94851" w:rsidRPr="00EA16CA" w14:paraId="5017E16F" w14:textId="77777777" w:rsidTr="00A97C99">
        <w:trPr>
          <w:trHeight w:val="650"/>
        </w:trPr>
        <w:tc>
          <w:tcPr>
            <w:tcW w:w="4928" w:type="dxa"/>
            <w:shd w:val="clear" w:color="auto" w:fill="A3DEF4" w:themeFill="accent2" w:themeFillTint="66"/>
          </w:tcPr>
          <w:p w14:paraId="5017E16B" w14:textId="77777777" w:rsidR="00C94851" w:rsidRPr="00EA16CA" w:rsidRDefault="00C94851" w:rsidP="00BB7573">
            <w:pPr>
              <w:rPr>
                <w:b/>
              </w:rPr>
            </w:pPr>
            <w:r w:rsidRPr="00EA16CA">
              <w:rPr>
                <w:b/>
              </w:rPr>
              <w:t>Indicator</w:t>
            </w:r>
          </w:p>
        </w:tc>
        <w:tc>
          <w:tcPr>
            <w:tcW w:w="1134" w:type="dxa"/>
            <w:shd w:val="clear" w:color="auto" w:fill="A3DEF4" w:themeFill="accent2" w:themeFillTint="66"/>
          </w:tcPr>
          <w:p w14:paraId="5017E16C" w14:textId="77777777" w:rsidR="00C94851" w:rsidRPr="00EA16CA" w:rsidRDefault="00C94851" w:rsidP="00BB7573">
            <w:pPr>
              <w:jc w:val="center"/>
              <w:rPr>
                <w:b/>
              </w:rPr>
            </w:pPr>
            <w:r w:rsidRPr="00EA16CA">
              <w:rPr>
                <w:b/>
              </w:rPr>
              <w:t>Target</w:t>
            </w:r>
          </w:p>
        </w:tc>
        <w:tc>
          <w:tcPr>
            <w:tcW w:w="1843" w:type="dxa"/>
            <w:shd w:val="clear" w:color="auto" w:fill="A3DEF4" w:themeFill="accent2" w:themeFillTint="66"/>
          </w:tcPr>
          <w:p w14:paraId="5017E16D" w14:textId="77777777" w:rsidR="00C94851" w:rsidRPr="00EA16CA" w:rsidRDefault="00C94851" w:rsidP="00BB7573">
            <w:pPr>
              <w:jc w:val="center"/>
              <w:rPr>
                <w:b/>
              </w:rPr>
            </w:pPr>
            <w:r w:rsidRPr="00EA16CA">
              <w:rPr>
                <w:b/>
              </w:rPr>
              <w:t>Performance</w:t>
            </w:r>
          </w:p>
        </w:tc>
        <w:tc>
          <w:tcPr>
            <w:tcW w:w="1337" w:type="dxa"/>
            <w:shd w:val="clear" w:color="auto" w:fill="A3DEF4" w:themeFill="accent2" w:themeFillTint="66"/>
          </w:tcPr>
          <w:p w14:paraId="5017E16E" w14:textId="77777777" w:rsidR="00C94851" w:rsidRPr="00EA16CA" w:rsidRDefault="00C94851" w:rsidP="00BB7573">
            <w:pPr>
              <w:jc w:val="center"/>
              <w:rPr>
                <w:b/>
              </w:rPr>
            </w:pPr>
            <w:r w:rsidRPr="00EA16CA">
              <w:rPr>
                <w:b/>
              </w:rPr>
              <w:t>How are we doing</w:t>
            </w:r>
          </w:p>
        </w:tc>
      </w:tr>
      <w:tr w:rsidR="00C94851" w:rsidRPr="00EA16CA" w14:paraId="5017E174" w14:textId="77777777" w:rsidTr="004E0AB7">
        <w:trPr>
          <w:trHeight w:val="451"/>
        </w:trPr>
        <w:tc>
          <w:tcPr>
            <w:tcW w:w="4928" w:type="dxa"/>
          </w:tcPr>
          <w:p w14:paraId="5017E170" w14:textId="77777777" w:rsidR="00C94851" w:rsidRPr="008C510E" w:rsidRDefault="00C94851" w:rsidP="00C94851">
            <w:pPr>
              <w:rPr>
                <w:sz w:val="20"/>
                <w:szCs w:val="20"/>
              </w:rPr>
            </w:pPr>
            <w:r w:rsidRPr="008C510E">
              <w:rPr>
                <w:sz w:val="20"/>
                <w:szCs w:val="20"/>
              </w:rPr>
              <w:t xml:space="preserve">% of £ lost due to empty homes </w:t>
            </w:r>
          </w:p>
        </w:tc>
        <w:tc>
          <w:tcPr>
            <w:tcW w:w="1134" w:type="dxa"/>
          </w:tcPr>
          <w:p w14:paraId="5017E171" w14:textId="769AD72C" w:rsidR="00C94851" w:rsidRPr="008C510E" w:rsidRDefault="00C94851" w:rsidP="00C94851">
            <w:pPr>
              <w:jc w:val="center"/>
              <w:rPr>
                <w:sz w:val="20"/>
                <w:szCs w:val="20"/>
              </w:rPr>
            </w:pPr>
            <w:r w:rsidRPr="008C510E">
              <w:rPr>
                <w:sz w:val="20"/>
                <w:szCs w:val="20"/>
              </w:rPr>
              <w:t>1.</w:t>
            </w:r>
            <w:r w:rsidR="00740B5C">
              <w:rPr>
                <w:sz w:val="20"/>
                <w:szCs w:val="20"/>
              </w:rPr>
              <w:t>0</w:t>
            </w:r>
            <w:r w:rsidR="00385E5C">
              <w:rPr>
                <w:sz w:val="20"/>
                <w:szCs w:val="20"/>
              </w:rPr>
              <w:t>0</w:t>
            </w:r>
            <w:r w:rsidRPr="008C510E">
              <w:rPr>
                <w:sz w:val="20"/>
                <w:szCs w:val="20"/>
              </w:rPr>
              <w:t>%</w:t>
            </w:r>
          </w:p>
        </w:tc>
        <w:tc>
          <w:tcPr>
            <w:tcW w:w="1843" w:type="dxa"/>
          </w:tcPr>
          <w:p w14:paraId="5017E172" w14:textId="100C7177" w:rsidR="00C94851" w:rsidRPr="008C510E" w:rsidRDefault="002142B0" w:rsidP="00C94851">
            <w:pPr>
              <w:jc w:val="center"/>
              <w:rPr>
                <w:sz w:val="20"/>
                <w:szCs w:val="20"/>
              </w:rPr>
            </w:pPr>
            <w:r>
              <w:rPr>
                <w:sz w:val="20"/>
                <w:szCs w:val="20"/>
              </w:rPr>
              <w:t>0.89%</w:t>
            </w:r>
          </w:p>
        </w:tc>
        <w:tc>
          <w:tcPr>
            <w:tcW w:w="1337" w:type="dxa"/>
          </w:tcPr>
          <w:p w14:paraId="5017E173" w14:textId="77777777" w:rsidR="00C94851" w:rsidRPr="008C510E" w:rsidRDefault="00B7613C" w:rsidP="00BB7573">
            <w:pPr>
              <w:jc w:val="center"/>
              <w:rPr>
                <w:sz w:val="20"/>
                <w:szCs w:val="20"/>
              </w:rPr>
            </w:pPr>
            <w:r w:rsidRPr="008C510E">
              <w:rPr>
                <w:rFonts w:ascii="Montserrat" w:hAnsi="Montserrat"/>
                <w:noProof/>
                <w:sz w:val="20"/>
                <w:szCs w:val="20"/>
                <w:lang w:eastAsia="en-GB"/>
              </w:rPr>
              <w:drawing>
                <wp:inline distT="0" distB="0" distL="0" distR="0" wp14:anchorId="5017E1A6" wp14:editId="5017E1A7">
                  <wp:extent cx="285750" cy="285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879" cy="298879"/>
                          </a:xfrm>
                          <a:prstGeom prst="rect">
                            <a:avLst/>
                          </a:prstGeom>
                          <a:noFill/>
                        </pic:spPr>
                      </pic:pic>
                    </a:graphicData>
                  </a:graphic>
                </wp:inline>
              </w:drawing>
            </w:r>
          </w:p>
        </w:tc>
      </w:tr>
      <w:tr w:rsidR="00C94851" w:rsidRPr="00EA16CA" w14:paraId="5017E179" w14:textId="77777777" w:rsidTr="00456E91">
        <w:trPr>
          <w:trHeight w:val="506"/>
        </w:trPr>
        <w:tc>
          <w:tcPr>
            <w:tcW w:w="4928" w:type="dxa"/>
          </w:tcPr>
          <w:p w14:paraId="5017E175" w14:textId="77777777" w:rsidR="00C94851" w:rsidRPr="008C510E" w:rsidRDefault="00C94851" w:rsidP="00BB7573">
            <w:pPr>
              <w:rPr>
                <w:sz w:val="20"/>
                <w:szCs w:val="20"/>
              </w:rPr>
            </w:pPr>
            <w:r w:rsidRPr="008C510E">
              <w:rPr>
                <w:sz w:val="20"/>
                <w:szCs w:val="20"/>
              </w:rPr>
              <w:t>Average time to let a property</w:t>
            </w:r>
          </w:p>
        </w:tc>
        <w:tc>
          <w:tcPr>
            <w:tcW w:w="1134" w:type="dxa"/>
          </w:tcPr>
          <w:p w14:paraId="5017E176" w14:textId="48898D22" w:rsidR="00C94851" w:rsidRPr="008C510E" w:rsidRDefault="00881852" w:rsidP="00BB7573">
            <w:pPr>
              <w:jc w:val="center"/>
              <w:rPr>
                <w:sz w:val="20"/>
                <w:szCs w:val="20"/>
              </w:rPr>
            </w:pPr>
            <w:r>
              <w:rPr>
                <w:sz w:val="20"/>
                <w:szCs w:val="20"/>
              </w:rPr>
              <w:t>2</w:t>
            </w:r>
            <w:r w:rsidR="00740B5C">
              <w:rPr>
                <w:sz w:val="20"/>
                <w:szCs w:val="20"/>
              </w:rPr>
              <w:t>3</w:t>
            </w:r>
            <w:r w:rsidR="00C94851" w:rsidRPr="008C510E">
              <w:rPr>
                <w:sz w:val="20"/>
                <w:szCs w:val="20"/>
              </w:rPr>
              <w:t xml:space="preserve"> days</w:t>
            </w:r>
          </w:p>
        </w:tc>
        <w:tc>
          <w:tcPr>
            <w:tcW w:w="1843" w:type="dxa"/>
          </w:tcPr>
          <w:p w14:paraId="5017E177" w14:textId="37A21C8D" w:rsidR="00C94851" w:rsidRPr="008C510E" w:rsidRDefault="00177874" w:rsidP="00BB7573">
            <w:pPr>
              <w:jc w:val="center"/>
              <w:rPr>
                <w:sz w:val="20"/>
                <w:szCs w:val="20"/>
              </w:rPr>
            </w:pPr>
            <w:r>
              <w:rPr>
                <w:sz w:val="20"/>
                <w:szCs w:val="20"/>
              </w:rPr>
              <w:t>21 days</w:t>
            </w:r>
          </w:p>
        </w:tc>
        <w:tc>
          <w:tcPr>
            <w:tcW w:w="1337" w:type="dxa"/>
          </w:tcPr>
          <w:p w14:paraId="5017E178" w14:textId="77777777" w:rsidR="00C94851" w:rsidRPr="008C510E" w:rsidRDefault="0084551C" w:rsidP="00456E91">
            <w:pPr>
              <w:jc w:val="center"/>
              <w:rPr>
                <w:sz w:val="20"/>
                <w:szCs w:val="20"/>
              </w:rPr>
            </w:pPr>
            <w:r w:rsidRPr="008C510E">
              <w:rPr>
                <w:rFonts w:ascii="Montserrat" w:hAnsi="Montserrat"/>
                <w:noProof/>
                <w:sz w:val="20"/>
                <w:szCs w:val="20"/>
                <w:lang w:eastAsia="en-GB"/>
              </w:rPr>
              <w:drawing>
                <wp:inline distT="0" distB="0" distL="0" distR="0" wp14:anchorId="5017E1A8" wp14:editId="5017E1A9">
                  <wp:extent cx="285750" cy="285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879" cy="298879"/>
                          </a:xfrm>
                          <a:prstGeom prst="rect">
                            <a:avLst/>
                          </a:prstGeom>
                          <a:noFill/>
                        </pic:spPr>
                      </pic:pic>
                    </a:graphicData>
                  </a:graphic>
                </wp:inline>
              </w:drawing>
            </w:r>
          </w:p>
        </w:tc>
      </w:tr>
    </w:tbl>
    <w:p w14:paraId="5017E17E" w14:textId="77777777" w:rsidR="00DC780D" w:rsidRDefault="00DC780D" w:rsidP="00C94851">
      <w:pPr>
        <w:rPr>
          <w:sz w:val="24"/>
          <w:szCs w:val="24"/>
        </w:rPr>
      </w:pPr>
    </w:p>
    <w:tbl>
      <w:tblPr>
        <w:tblStyle w:val="TableGrid"/>
        <w:tblW w:w="0" w:type="auto"/>
        <w:tblLook w:val="04A0" w:firstRow="1" w:lastRow="0" w:firstColumn="1" w:lastColumn="0" w:noHBand="0" w:noVBand="1"/>
      </w:tblPr>
      <w:tblGrid>
        <w:gridCol w:w="4743"/>
        <w:gridCol w:w="1125"/>
        <w:gridCol w:w="1835"/>
        <w:gridCol w:w="1313"/>
      </w:tblGrid>
      <w:tr w:rsidR="00C94851" w:rsidRPr="00EA16CA" w14:paraId="5017E180" w14:textId="77777777" w:rsidTr="00C36DEA">
        <w:tc>
          <w:tcPr>
            <w:tcW w:w="9016" w:type="dxa"/>
            <w:gridSpan w:val="4"/>
            <w:shd w:val="clear" w:color="auto" w:fill="00B0F0"/>
          </w:tcPr>
          <w:p w14:paraId="5017E17F" w14:textId="77777777" w:rsidR="00C94851" w:rsidRPr="00EA16CA" w:rsidRDefault="00C94851" w:rsidP="00C94851">
            <w:pPr>
              <w:jc w:val="center"/>
              <w:rPr>
                <w:b/>
                <w:sz w:val="28"/>
                <w:szCs w:val="28"/>
              </w:rPr>
            </w:pPr>
            <w:r>
              <w:rPr>
                <w:b/>
                <w:color w:val="FFFFFF" w:themeColor="background1"/>
                <w:sz w:val="28"/>
                <w:szCs w:val="28"/>
              </w:rPr>
              <w:t>Managing Income</w:t>
            </w:r>
          </w:p>
        </w:tc>
      </w:tr>
      <w:tr w:rsidR="00C94851" w:rsidRPr="00EA16CA" w14:paraId="5017E185" w14:textId="77777777" w:rsidTr="00C36DEA">
        <w:tc>
          <w:tcPr>
            <w:tcW w:w="4743" w:type="dxa"/>
            <w:shd w:val="clear" w:color="auto" w:fill="A3DEF4" w:themeFill="accent2" w:themeFillTint="66"/>
          </w:tcPr>
          <w:p w14:paraId="5017E181" w14:textId="77777777" w:rsidR="00C94851" w:rsidRPr="00EA16CA" w:rsidRDefault="00C94851" w:rsidP="00BB7573">
            <w:pPr>
              <w:rPr>
                <w:b/>
              </w:rPr>
            </w:pPr>
            <w:r w:rsidRPr="00EA16CA">
              <w:rPr>
                <w:b/>
              </w:rPr>
              <w:t>Indicator</w:t>
            </w:r>
          </w:p>
        </w:tc>
        <w:tc>
          <w:tcPr>
            <w:tcW w:w="1125" w:type="dxa"/>
            <w:shd w:val="clear" w:color="auto" w:fill="A3DEF4" w:themeFill="accent2" w:themeFillTint="66"/>
          </w:tcPr>
          <w:p w14:paraId="5017E182" w14:textId="77777777" w:rsidR="00C94851" w:rsidRPr="00EA16CA" w:rsidRDefault="00C94851" w:rsidP="00BB7573">
            <w:pPr>
              <w:jc w:val="center"/>
              <w:rPr>
                <w:b/>
              </w:rPr>
            </w:pPr>
            <w:r w:rsidRPr="00EA16CA">
              <w:rPr>
                <w:b/>
              </w:rPr>
              <w:t>Target</w:t>
            </w:r>
          </w:p>
        </w:tc>
        <w:tc>
          <w:tcPr>
            <w:tcW w:w="1835" w:type="dxa"/>
            <w:shd w:val="clear" w:color="auto" w:fill="A3DEF4" w:themeFill="accent2" w:themeFillTint="66"/>
          </w:tcPr>
          <w:p w14:paraId="5017E183" w14:textId="77777777" w:rsidR="00C94851" w:rsidRPr="00EA16CA" w:rsidRDefault="00C94851" w:rsidP="00BB7573">
            <w:pPr>
              <w:jc w:val="center"/>
              <w:rPr>
                <w:b/>
              </w:rPr>
            </w:pPr>
            <w:r w:rsidRPr="00EA16CA">
              <w:rPr>
                <w:b/>
              </w:rPr>
              <w:t>Performance</w:t>
            </w:r>
          </w:p>
        </w:tc>
        <w:tc>
          <w:tcPr>
            <w:tcW w:w="1313" w:type="dxa"/>
            <w:shd w:val="clear" w:color="auto" w:fill="A3DEF4" w:themeFill="accent2" w:themeFillTint="66"/>
          </w:tcPr>
          <w:p w14:paraId="5017E184" w14:textId="77777777" w:rsidR="00C94851" w:rsidRPr="00EA16CA" w:rsidRDefault="00C94851" w:rsidP="00BB7573">
            <w:pPr>
              <w:jc w:val="center"/>
              <w:rPr>
                <w:b/>
              </w:rPr>
            </w:pPr>
            <w:r w:rsidRPr="00EA16CA">
              <w:rPr>
                <w:b/>
              </w:rPr>
              <w:t>How are we doing</w:t>
            </w:r>
          </w:p>
        </w:tc>
      </w:tr>
      <w:tr w:rsidR="00C94851" w:rsidRPr="00EA16CA" w14:paraId="5017E18A" w14:textId="77777777" w:rsidTr="00C36DEA">
        <w:tc>
          <w:tcPr>
            <w:tcW w:w="4743" w:type="dxa"/>
          </w:tcPr>
          <w:p w14:paraId="5017E186" w14:textId="77777777" w:rsidR="00C94851" w:rsidRPr="008C510E" w:rsidRDefault="00C94851" w:rsidP="00C94851">
            <w:pPr>
              <w:rPr>
                <w:sz w:val="20"/>
                <w:szCs w:val="20"/>
              </w:rPr>
            </w:pPr>
            <w:r w:rsidRPr="008C510E">
              <w:rPr>
                <w:sz w:val="20"/>
                <w:szCs w:val="20"/>
              </w:rPr>
              <w:t xml:space="preserve">% of £ lost due to rent arrears </w:t>
            </w:r>
          </w:p>
        </w:tc>
        <w:tc>
          <w:tcPr>
            <w:tcW w:w="1125" w:type="dxa"/>
          </w:tcPr>
          <w:p w14:paraId="5017E187" w14:textId="6D68ACA5" w:rsidR="00C94851" w:rsidRPr="008C510E" w:rsidRDefault="00A3526D" w:rsidP="00C94851">
            <w:pPr>
              <w:jc w:val="center"/>
              <w:rPr>
                <w:sz w:val="20"/>
                <w:szCs w:val="20"/>
              </w:rPr>
            </w:pPr>
            <w:r>
              <w:rPr>
                <w:sz w:val="20"/>
                <w:szCs w:val="20"/>
              </w:rPr>
              <w:t>2</w:t>
            </w:r>
            <w:r w:rsidR="00CC5DF2">
              <w:rPr>
                <w:sz w:val="20"/>
                <w:szCs w:val="20"/>
              </w:rPr>
              <w:t>.</w:t>
            </w:r>
            <w:r w:rsidR="00DB01B4">
              <w:rPr>
                <w:sz w:val="20"/>
                <w:szCs w:val="20"/>
              </w:rPr>
              <w:t>30</w:t>
            </w:r>
            <w:r w:rsidR="00C94851" w:rsidRPr="008C510E">
              <w:rPr>
                <w:sz w:val="20"/>
                <w:szCs w:val="20"/>
              </w:rPr>
              <w:t>%</w:t>
            </w:r>
          </w:p>
        </w:tc>
        <w:tc>
          <w:tcPr>
            <w:tcW w:w="1835" w:type="dxa"/>
          </w:tcPr>
          <w:p w14:paraId="5017E188" w14:textId="40F158FC" w:rsidR="00F64874" w:rsidRPr="008C510E" w:rsidRDefault="00177874" w:rsidP="00782F5F">
            <w:pPr>
              <w:jc w:val="center"/>
              <w:rPr>
                <w:sz w:val="20"/>
                <w:szCs w:val="20"/>
              </w:rPr>
            </w:pPr>
            <w:r>
              <w:rPr>
                <w:sz w:val="20"/>
                <w:szCs w:val="20"/>
              </w:rPr>
              <w:t>2.54%</w:t>
            </w:r>
          </w:p>
        </w:tc>
        <w:tc>
          <w:tcPr>
            <w:tcW w:w="1313" w:type="dxa"/>
          </w:tcPr>
          <w:p w14:paraId="5017E189" w14:textId="3A83342E" w:rsidR="00C94851" w:rsidRPr="008C510E" w:rsidRDefault="00D6402B" w:rsidP="00BB7573">
            <w:pPr>
              <w:jc w:val="center"/>
              <w:rPr>
                <w:sz w:val="20"/>
                <w:szCs w:val="20"/>
              </w:rPr>
            </w:pPr>
            <w:r w:rsidRPr="00EC03EA">
              <w:rPr>
                <w:rFonts w:ascii="Montserrat" w:hAnsi="Montserrat"/>
                <w:b/>
                <w:noProof/>
                <w:sz w:val="20"/>
                <w:szCs w:val="20"/>
                <w:lang w:eastAsia="en-GB"/>
              </w:rPr>
              <w:drawing>
                <wp:inline distT="0" distB="0" distL="0" distR="0" wp14:anchorId="5675A792" wp14:editId="7AAA643A">
                  <wp:extent cx="321468" cy="25717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102" cy="264082"/>
                          </a:xfrm>
                          <a:prstGeom prst="rect">
                            <a:avLst/>
                          </a:prstGeom>
                          <a:noFill/>
                        </pic:spPr>
                      </pic:pic>
                    </a:graphicData>
                  </a:graphic>
                </wp:inline>
              </w:drawing>
            </w:r>
          </w:p>
        </w:tc>
      </w:tr>
      <w:tr w:rsidR="00C36DEA" w:rsidRPr="00EA16CA" w14:paraId="0B0F221F" w14:textId="77777777" w:rsidTr="004845FA">
        <w:tc>
          <w:tcPr>
            <w:tcW w:w="9016" w:type="dxa"/>
            <w:gridSpan w:val="4"/>
          </w:tcPr>
          <w:p w14:paraId="7231B3E1" w14:textId="48698B84" w:rsidR="00C36DEA" w:rsidRDefault="00C36DEA" w:rsidP="00C36DEA">
            <w:pPr>
              <w:rPr>
                <w:rFonts w:ascii="Montserrat" w:hAnsi="Montserrat"/>
                <w:b/>
                <w:noProof/>
                <w:sz w:val="20"/>
                <w:szCs w:val="20"/>
                <w:lang w:eastAsia="en-GB"/>
              </w:rPr>
            </w:pPr>
            <w:r>
              <w:rPr>
                <w:rFonts w:ascii="Montserrat" w:hAnsi="Montserrat"/>
                <w:b/>
                <w:noProof/>
                <w:sz w:val="20"/>
                <w:szCs w:val="20"/>
                <w:lang w:eastAsia="en-GB"/>
              </w:rPr>
              <w:t>% of rent arrears</w:t>
            </w:r>
            <w:r w:rsidR="00867AF0">
              <w:rPr>
                <w:rFonts w:ascii="Montserrat" w:hAnsi="Montserrat"/>
                <w:b/>
                <w:noProof/>
                <w:sz w:val="20"/>
                <w:szCs w:val="20"/>
                <w:lang w:eastAsia="en-GB"/>
              </w:rPr>
              <w:t>:</w:t>
            </w:r>
          </w:p>
          <w:p w14:paraId="6710D02C" w14:textId="302E0AF9" w:rsidR="00E30838" w:rsidRPr="00E83BFC" w:rsidRDefault="00214D8D" w:rsidP="002B0FD7">
            <w:pPr>
              <w:rPr>
                <w:rFonts w:ascii="Montserrat" w:hAnsi="Montserrat"/>
                <w:bCs/>
                <w:noProof/>
                <w:sz w:val="20"/>
                <w:szCs w:val="20"/>
                <w:lang w:eastAsia="en-GB"/>
              </w:rPr>
            </w:pPr>
            <w:r w:rsidRPr="00CE056B">
              <w:rPr>
                <w:rFonts w:ascii="Montserrat" w:hAnsi="Montserrat"/>
                <w:bCs/>
                <w:noProof/>
                <w:sz w:val="20"/>
                <w:szCs w:val="20"/>
                <w:lang w:eastAsia="en-GB"/>
              </w:rPr>
              <w:t>Performance has improved from last month. We continue to see our performance impacted by the cyclical nature of housing benefit and universal credit payments. We are also seeing more custo</w:t>
            </w:r>
            <w:r>
              <w:rPr>
                <w:rFonts w:ascii="Montserrat" w:hAnsi="Montserrat"/>
                <w:bCs/>
                <w:noProof/>
                <w:sz w:val="20"/>
                <w:szCs w:val="20"/>
                <w:lang w:eastAsia="en-GB"/>
              </w:rPr>
              <w:t>m</w:t>
            </w:r>
            <w:r w:rsidRPr="00CE056B">
              <w:rPr>
                <w:rFonts w:ascii="Montserrat" w:hAnsi="Montserrat"/>
                <w:bCs/>
                <w:noProof/>
                <w:sz w:val="20"/>
                <w:szCs w:val="20"/>
                <w:lang w:eastAsia="en-GB"/>
              </w:rPr>
              <w:t xml:space="preserve">ers finding it increasingly difficult to pay their rent as a result of the rising cost of living. Our Welfare Benefits Team continue to support tenants maximise their income. During the last year, they have supported 657 households and increased their income by £586k. </w:t>
            </w:r>
          </w:p>
        </w:tc>
      </w:tr>
    </w:tbl>
    <w:p w14:paraId="79E0A906" w14:textId="77777777" w:rsidR="00752DEF" w:rsidRDefault="00752DEF" w:rsidP="00C94851">
      <w:pPr>
        <w:rPr>
          <w:sz w:val="24"/>
          <w:szCs w:val="24"/>
        </w:rPr>
      </w:pPr>
    </w:p>
    <w:tbl>
      <w:tblPr>
        <w:tblStyle w:val="TableGrid"/>
        <w:tblW w:w="0" w:type="auto"/>
        <w:tblLook w:val="04A0" w:firstRow="1" w:lastRow="0" w:firstColumn="1" w:lastColumn="0" w:noHBand="0" w:noVBand="1"/>
      </w:tblPr>
      <w:tblGrid>
        <w:gridCol w:w="4745"/>
        <w:gridCol w:w="1124"/>
        <w:gridCol w:w="1834"/>
        <w:gridCol w:w="1313"/>
      </w:tblGrid>
      <w:tr w:rsidR="00EC03EA" w:rsidRPr="00EA16CA" w14:paraId="5017E18D" w14:textId="77777777" w:rsidTr="00BE0199">
        <w:tc>
          <w:tcPr>
            <w:tcW w:w="9016" w:type="dxa"/>
            <w:gridSpan w:val="4"/>
            <w:shd w:val="clear" w:color="auto" w:fill="00B0F0"/>
          </w:tcPr>
          <w:p w14:paraId="5017E18C" w14:textId="77777777" w:rsidR="00EC03EA" w:rsidRPr="00EA16CA" w:rsidRDefault="00EC03EA" w:rsidP="00EC03EA">
            <w:pPr>
              <w:jc w:val="center"/>
              <w:rPr>
                <w:b/>
                <w:sz w:val="28"/>
                <w:szCs w:val="28"/>
              </w:rPr>
            </w:pPr>
            <w:r>
              <w:rPr>
                <w:b/>
                <w:color w:val="FFFFFF" w:themeColor="background1"/>
                <w:sz w:val="28"/>
                <w:szCs w:val="28"/>
              </w:rPr>
              <w:t xml:space="preserve">Delivering Customer Service </w:t>
            </w:r>
          </w:p>
        </w:tc>
      </w:tr>
      <w:tr w:rsidR="00EC03EA" w:rsidRPr="00EA16CA" w14:paraId="5017E192" w14:textId="77777777" w:rsidTr="00BE0199">
        <w:tc>
          <w:tcPr>
            <w:tcW w:w="4745" w:type="dxa"/>
            <w:shd w:val="clear" w:color="auto" w:fill="A3DEF4" w:themeFill="accent2" w:themeFillTint="66"/>
          </w:tcPr>
          <w:p w14:paraId="5017E18E" w14:textId="77777777" w:rsidR="00EC03EA" w:rsidRPr="00EA16CA" w:rsidRDefault="00EC03EA" w:rsidP="00BB7573">
            <w:pPr>
              <w:rPr>
                <w:b/>
              </w:rPr>
            </w:pPr>
            <w:r w:rsidRPr="00EA16CA">
              <w:rPr>
                <w:b/>
              </w:rPr>
              <w:t>Indicator</w:t>
            </w:r>
          </w:p>
        </w:tc>
        <w:tc>
          <w:tcPr>
            <w:tcW w:w="1124" w:type="dxa"/>
            <w:shd w:val="clear" w:color="auto" w:fill="A3DEF4" w:themeFill="accent2" w:themeFillTint="66"/>
          </w:tcPr>
          <w:p w14:paraId="5017E18F" w14:textId="77777777" w:rsidR="00EC03EA" w:rsidRPr="00EA16CA" w:rsidRDefault="00EC03EA" w:rsidP="00BB7573">
            <w:pPr>
              <w:jc w:val="center"/>
              <w:rPr>
                <w:b/>
              </w:rPr>
            </w:pPr>
            <w:r w:rsidRPr="00EA16CA">
              <w:rPr>
                <w:b/>
              </w:rPr>
              <w:t>Target</w:t>
            </w:r>
          </w:p>
        </w:tc>
        <w:tc>
          <w:tcPr>
            <w:tcW w:w="1834" w:type="dxa"/>
            <w:shd w:val="clear" w:color="auto" w:fill="A3DEF4" w:themeFill="accent2" w:themeFillTint="66"/>
          </w:tcPr>
          <w:p w14:paraId="5017E190" w14:textId="77777777" w:rsidR="00EC03EA" w:rsidRPr="00EA16CA" w:rsidRDefault="00EC03EA" w:rsidP="00BB7573">
            <w:pPr>
              <w:jc w:val="center"/>
              <w:rPr>
                <w:b/>
              </w:rPr>
            </w:pPr>
            <w:r w:rsidRPr="00EA16CA">
              <w:rPr>
                <w:b/>
              </w:rPr>
              <w:t>Performance</w:t>
            </w:r>
          </w:p>
        </w:tc>
        <w:tc>
          <w:tcPr>
            <w:tcW w:w="1313" w:type="dxa"/>
            <w:shd w:val="clear" w:color="auto" w:fill="A3DEF4" w:themeFill="accent2" w:themeFillTint="66"/>
          </w:tcPr>
          <w:p w14:paraId="5017E191" w14:textId="77777777" w:rsidR="00EC03EA" w:rsidRPr="00EA16CA" w:rsidRDefault="00EC03EA" w:rsidP="00BB7573">
            <w:pPr>
              <w:jc w:val="center"/>
              <w:rPr>
                <w:b/>
              </w:rPr>
            </w:pPr>
            <w:r w:rsidRPr="00EA16CA">
              <w:rPr>
                <w:b/>
              </w:rPr>
              <w:t>How are we doing</w:t>
            </w:r>
          </w:p>
        </w:tc>
      </w:tr>
      <w:tr w:rsidR="00EC03EA" w:rsidRPr="00EA16CA" w14:paraId="5017E197" w14:textId="77777777" w:rsidTr="00BE0199">
        <w:trPr>
          <w:trHeight w:val="555"/>
        </w:trPr>
        <w:tc>
          <w:tcPr>
            <w:tcW w:w="4745" w:type="dxa"/>
          </w:tcPr>
          <w:p w14:paraId="5017E193" w14:textId="77777777" w:rsidR="00EC03EA" w:rsidRPr="008C510E" w:rsidRDefault="00DE6CCB" w:rsidP="00EC03EA">
            <w:pPr>
              <w:rPr>
                <w:sz w:val="20"/>
                <w:szCs w:val="20"/>
              </w:rPr>
            </w:pPr>
            <w:r>
              <w:rPr>
                <w:sz w:val="20"/>
                <w:szCs w:val="20"/>
              </w:rPr>
              <w:t>% of calls</w:t>
            </w:r>
            <w:r w:rsidR="00EC03EA" w:rsidRPr="008C510E">
              <w:rPr>
                <w:sz w:val="20"/>
                <w:szCs w:val="20"/>
              </w:rPr>
              <w:t xml:space="preserve"> dealt with on first contact</w:t>
            </w:r>
          </w:p>
        </w:tc>
        <w:tc>
          <w:tcPr>
            <w:tcW w:w="1124" w:type="dxa"/>
          </w:tcPr>
          <w:p w14:paraId="5017E194" w14:textId="77777777" w:rsidR="00EC03EA" w:rsidRPr="008C510E" w:rsidRDefault="00881852" w:rsidP="00EC03EA">
            <w:pPr>
              <w:jc w:val="center"/>
              <w:rPr>
                <w:sz w:val="20"/>
                <w:szCs w:val="20"/>
              </w:rPr>
            </w:pPr>
            <w:r>
              <w:rPr>
                <w:sz w:val="20"/>
                <w:szCs w:val="20"/>
              </w:rPr>
              <w:t>9</w:t>
            </w:r>
            <w:r w:rsidR="00EC03EA" w:rsidRPr="008C510E">
              <w:rPr>
                <w:sz w:val="20"/>
                <w:szCs w:val="20"/>
              </w:rPr>
              <w:t>0%</w:t>
            </w:r>
          </w:p>
        </w:tc>
        <w:tc>
          <w:tcPr>
            <w:tcW w:w="1834" w:type="dxa"/>
          </w:tcPr>
          <w:p w14:paraId="5017E195" w14:textId="28DBE42D" w:rsidR="00EC03EA" w:rsidRPr="008C510E" w:rsidRDefault="00177874" w:rsidP="00DB511E">
            <w:pPr>
              <w:jc w:val="center"/>
              <w:rPr>
                <w:sz w:val="20"/>
                <w:szCs w:val="20"/>
              </w:rPr>
            </w:pPr>
            <w:r>
              <w:rPr>
                <w:sz w:val="20"/>
                <w:szCs w:val="20"/>
              </w:rPr>
              <w:t>89%</w:t>
            </w:r>
          </w:p>
        </w:tc>
        <w:tc>
          <w:tcPr>
            <w:tcW w:w="1313" w:type="dxa"/>
          </w:tcPr>
          <w:p w14:paraId="5017E196" w14:textId="10FEA7DF" w:rsidR="00EC03EA" w:rsidRPr="008C510E" w:rsidRDefault="001A5D37" w:rsidP="00BB7573">
            <w:pPr>
              <w:jc w:val="center"/>
              <w:rPr>
                <w:sz w:val="20"/>
                <w:szCs w:val="20"/>
              </w:rPr>
            </w:pPr>
            <w:r w:rsidRPr="00EC03EA">
              <w:rPr>
                <w:rFonts w:ascii="Montserrat" w:hAnsi="Montserrat"/>
                <w:b/>
                <w:noProof/>
                <w:sz w:val="20"/>
                <w:szCs w:val="20"/>
                <w:lang w:eastAsia="en-GB"/>
              </w:rPr>
              <w:drawing>
                <wp:inline distT="0" distB="0" distL="0" distR="0" wp14:anchorId="147ACF43" wp14:editId="466DE820">
                  <wp:extent cx="321468" cy="2571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102" cy="264082"/>
                          </a:xfrm>
                          <a:prstGeom prst="rect">
                            <a:avLst/>
                          </a:prstGeom>
                          <a:noFill/>
                        </pic:spPr>
                      </pic:pic>
                    </a:graphicData>
                  </a:graphic>
                </wp:inline>
              </w:drawing>
            </w:r>
          </w:p>
        </w:tc>
      </w:tr>
      <w:tr w:rsidR="003F25CA" w:rsidRPr="00EA16CA" w14:paraId="430D2A0B" w14:textId="77777777" w:rsidTr="00BE0199">
        <w:tc>
          <w:tcPr>
            <w:tcW w:w="9016" w:type="dxa"/>
            <w:gridSpan w:val="4"/>
          </w:tcPr>
          <w:p w14:paraId="0DD4223E" w14:textId="130197D7" w:rsidR="00C47587" w:rsidRDefault="00B5397D" w:rsidP="003F25CA">
            <w:pPr>
              <w:rPr>
                <w:rFonts w:ascii="Montserrat" w:hAnsi="Montserrat"/>
                <w:b/>
                <w:noProof/>
                <w:sz w:val="20"/>
                <w:szCs w:val="20"/>
                <w:lang w:eastAsia="en-GB"/>
              </w:rPr>
            </w:pPr>
            <w:r>
              <w:rPr>
                <w:rFonts w:ascii="Montserrat" w:hAnsi="Montserrat"/>
                <w:b/>
                <w:noProof/>
                <w:sz w:val="20"/>
                <w:szCs w:val="20"/>
                <w:lang w:eastAsia="en-GB"/>
              </w:rPr>
              <w:t>Calls dealt with on first contact</w:t>
            </w:r>
            <w:r w:rsidR="007317B3">
              <w:rPr>
                <w:rFonts w:ascii="Montserrat" w:hAnsi="Montserrat"/>
                <w:b/>
                <w:noProof/>
                <w:sz w:val="20"/>
                <w:szCs w:val="20"/>
                <w:lang w:eastAsia="en-GB"/>
              </w:rPr>
              <w:t>:</w:t>
            </w:r>
          </w:p>
          <w:p w14:paraId="5FEF0BAA" w14:textId="77777777" w:rsidR="00441D82" w:rsidRDefault="00441D82" w:rsidP="00441D82">
            <w:pPr>
              <w:rPr>
                <w:rFonts w:ascii="Montserrat" w:hAnsi="Montserrat"/>
                <w:bCs/>
                <w:noProof/>
                <w:sz w:val="20"/>
                <w:szCs w:val="20"/>
                <w:lang w:eastAsia="en-GB"/>
              </w:rPr>
            </w:pPr>
            <w:r>
              <w:rPr>
                <w:rFonts w:ascii="Montserrat" w:hAnsi="Montserrat"/>
                <w:bCs/>
                <w:noProof/>
                <w:sz w:val="20"/>
                <w:szCs w:val="20"/>
                <w:lang w:eastAsia="en-GB"/>
              </w:rPr>
              <w:t xml:space="preserve">Performance has improved from last month.  Many of our incoming calls require follow up with our contractors which is impacting performance. </w:t>
            </w:r>
          </w:p>
          <w:p w14:paraId="709F5644" w14:textId="77777777" w:rsidR="00441D82" w:rsidRDefault="00441D82" w:rsidP="00441D82">
            <w:pPr>
              <w:rPr>
                <w:rFonts w:ascii="Montserrat" w:hAnsi="Montserrat"/>
                <w:bCs/>
                <w:noProof/>
                <w:sz w:val="20"/>
                <w:szCs w:val="20"/>
                <w:lang w:eastAsia="en-GB"/>
              </w:rPr>
            </w:pPr>
          </w:p>
          <w:p w14:paraId="2BBD62EB" w14:textId="77777777" w:rsidR="00441D82" w:rsidRDefault="00441D82" w:rsidP="00441D82">
            <w:pPr>
              <w:rPr>
                <w:rFonts w:ascii="Montserrat" w:hAnsi="Montserrat"/>
                <w:bCs/>
                <w:noProof/>
                <w:sz w:val="20"/>
                <w:szCs w:val="20"/>
                <w:lang w:eastAsia="en-GB"/>
              </w:rPr>
            </w:pPr>
            <w:r>
              <w:rPr>
                <w:rFonts w:ascii="Montserrat" w:hAnsi="Montserrat"/>
                <w:bCs/>
                <w:noProof/>
                <w:sz w:val="20"/>
                <w:szCs w:val="20"/>
                <w:lang w:eastAsia="en-GB"/>
              </w:rPr>
              <w:t>We used alternative contractors to assist with the increase in fencing and roofing repairs caused by the various storms. As a result of this, the number of calls during March reduced.</w:t>
            </w:r>
          </w:p>
          <w:p w14:paraId="1B88A0B9" w14:textId="77777777" w:rsidR="00441D82" w:rsidRDefault="00441D82" w:rsidP="00441D82">
            <w:pPr>
              <w:rPr>
                <w:rFonts w:ascii="Montserrat" w:hAnsi="Montserrat"/>
                <w:bCs/>
                <w:noProof/>
                <w:sz w:val="20"/>
                <w:szCs w:val="20"/>
                <w:lang w:eastAsia="en-GB"/>
              </w:rPr>
            </w:pPr>
            <w:r>
              <w:rPr>
                <w:rFonts w:ascii="Montserrat" w:hAnsi="Montserrat"/>
                <w:bCs/>
                <w:noProof/>
                <w:sz w:val="20"/>
                <w:szCs w:val="20"/>
                <w:lang w:eastAsia="en-GB"/>
              </w:rPr>
              <w:t xml:space="preserve"> </w:t>
            </w:r>
          </w:p>
          <w:p w14:paraId="1E1C69A2" w14:textId="4FB8A5E4" w:rsidR="002B0FD7" w:rsidRPr="006F3455" w:rsidRDefault="00441D82" w:rsidP="002B0FD7">
            <w:pPr>
              <w:rPr>
                <w:rFonts w:ascii="Montserrat" w:hAnsi="Montserrat"/>
                <w:bCs/>
                <w:noProof/>
                <w:sz w:val="20"/>
                <w:szCs w:val="20"/>
                <w:lang w:eastAsia="en-GB"/>
              </w:rPr>
            </w:pPr>
            <w:r>
              <w:rPr>
                <w:rFonts w:ascii="Montserrat" w:hAnsi="Montserrat"/>
                <w:bCs/>
                <w:noProof/>
                <w:sz w:val="20"/>
                <w:szCs w:val="20"/>
                <w:lang w:eastAsia="en-GB"/>
              </w:rPr>
              <w:t>Satisfaction remains high for Customer Services at 98%.</w:t>
            </w:r>
          </w:p>
        </w:tc>
      </w:tr>
    </w:tbl>
    <w:p w14:paraId="5017E19D" w14:textId="77777777" w:rsidR="00C94851" w:rsidRPr="00EA16CA" w:rsidRDefault="00C94851" w:rsidP="00C94851">
      <w:pPr>
        <w:rPr>
          <w:sz w:val="24"/>
          <w:szCs w:val="24"/>
        </w:rPr>
      </w:pPr>
    </w:p>
    <w:sectPr w:rsidR="00C94851" w:rsidRPr="00EA16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tserrat">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Montserrat-SemiBold">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Hero">
    <w:panose1 w:val="02000506000000020004"/>
    <w:charset w:val="00"/>
    <w:family w:val="moder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6CA"/>
    <w:rsid w:val="000023E2"/>
    <w:rsid w:val="00011635"/>
    <w:rsid w:val="000139A5"/>
    <w:rsid w:val="00045178"/>
    <w:rsid w:val="0005114F"/>
    <w:rsid w:val="00065076"/>
    <w:rsid w:val="0006799F"/>
    <w:rsid w:val="000740E0"/>
    <w:rsid w:val="00075584"/>
    <w:rsid w:val="000758BE"/>
    <w:rsid w:val="000767BF"/>
    <w:rsid w:val="00085880"/>
    <w:rsid w:val="00096C62"/>
    <w:rsid w:val="000A0F28"/>
    <w:rsid w:val="000A1E9F"/>
    <w:rsid w:val="000A4C2D"/>
    <w:rsid w:val="000C31D6"/>
    <w:rsid w:val="000D2C99"/>
    <w:rsid w:val="000D3E20"/>
    <w:rsid w:val="000E4C13"/>
    <w:rsid w:val="000F2036"/>
    <w:rsid w:val="00103D9E"/>
    <w:rsid w:val="00115C6D"/>
    <w:rsid w:val="00127ED0"/>
    <w:rsid w:val="00130F33"/>
    <w:rsid w:val="0013117F"/>
    <w:rsid w:val="00131D48"/>
    <w:rsid w:val="0014705C"/>
    <w:rsid w:val="00177874"/>
    <w:rsid w:val="001A1E69"/>
    <w:rsid w:val="001A5D37"/>
    <w:rsid w:val="001A667D"/>
    <w:rsid w:val="001A7520"/>
    <w:rsid w:val="001C0E75"/>
    <w:rsid w:val="001D3BBC"/>
    <w:rsid w:val="001D4890"/>
    <w:rsid w:val="001E1677"/>
    <w:rsid w:val="001E575D"/>
    <w:rsid w:val="001F12E2"/>
    <w:rsid w:val="001F7163"/>
    <w:rsid w:val="00202C06"/>
    <w:rsid w:val="002040EA"/>
    <w:rsid w:val="002141C2"/>
    <w:rsid w:val="002142B0"/>
    <w:rsid w:val="00214D8D"/>
    <w:rsid w:val="00224F47"/>
    <w:rsid w:val="00227401"/>
    <w:rsid w:val="002471A9"/>
    <w:rsid w:val="00247299"/>
    <w:rsid w:val="002515A7"/>
    <w:rsid w:val="002A32AA"/>
    <w:rsid w:val="002B0FD7"/>
    <w:rsid w:val="002C3FF2"/>
    <w:rsid w:val="002C425F"/>
    <w:rsid w:val="002C531D"/>
    <w:rsid w:val="002E042D"/>
    <w:rsid w:val="002F1154"/>
    <w:rsid w:val="002F17BF"/>
    <w:rsid w:val="002F36F1"/>
    <w:rsid w:val="00303464"/>
    <w:rsid w:val="00305500"/>
    <w:rsid w:val="00305A87"/>
    <w:rsid w:val="003070FC"/>
    <w:rsid w:val="00313DAF"/>
    <w:rsid w:val="00321937"/>
    <w:rsid w:val="00325F34"/>
    <w:rsid w:val="00326139"/>
    <w:rsid w:val="003277D7"/>
    <w:rsid w:val="0033230F"/>
    <w:rsid w:val="00347B82"/>
    <w:rsid w:val="003545FB"/>
    <w:rsid w:val="00372E0D"/>
    <w:rsid w:val="0037604A"/>
    <w:rsid w:val="00385B9F"/>
    <w:rsid w:val="00385E5C"/>
    <w:rsid w:val="003A50EB"/>
    <w:rsid w:val="003A6C51"/>
    <w:rsid w:val="003B3C62"/>
    <w:rsid w:val="003C3F17"/>
    <w:rsid w:val="003D1809"/>
    <w:rsid w:val="003D7B22"/>
    <w:rsid w:val="003E08F4"/>
    <w:rsid w:val="003E1183"/>
    <w:rsid w:val="003E1C01"/>
    <w:rsid w:val="003E401B"/>
    <w:rsid w:val="003F25CA"/>
    <w:rsid w:val="003F713F"/>
    <w:rsid w:val="00421F40"/>
    <w:rsid w:val="00441D82"/>
    <w:rsid w:val="00454E09"/>
    <w:rsid w:val="00456E91"/>
    <w:rsid w:val="00464507"/>
    <w:rsid w:val="00466E64"/>
    <w:rsid w:val="004776E9"/>
    <w:rsid w:val="0049332A"/>
    <w:rsid w:val="0049578E"/>
    <w:rsid w:val="004A0C46"/>
    <w:rsid w:val="004A5156"/>
    <w:rsid w:val="004C3225"/>
    <w:rsid w:val="004E0740"/>
    <w:rsid w:val="004E0AB7"/>
    <w:rsid w:val="004F5642"/>
    <w:rsid w:val="00504F5A"/>
    <w:rsid w:val="005257D0"/>
    <w:rsid w:val="00527716"/>
    <w:rsid w:val="00531C75"/>
    <w:rsid w:val="00536CCD"/>
    <w:rsid w:val="0055347F"/>
    <w:rsid w:val="005636DF"/>
    <w:rsid w:val="00565AAD"/>
    <w:rsid w:val="00566455"/>
    <w:rsid w:val="00567807"/>
    <w:rsid w:val="00567DBD"/>
    <w:rsid w:val="00570089"/>
    <w:rsid w:val="00573E33"/>
    <w:rsid w:val="00577D98"/>
    <w:rsid w:val="00583A6B"/>
    <w:rsid w:val="0058497F"/>
    <w:rsid w:val="00597F2C"/>
    <w:rsid w:val="005C08BF"/>
    <w:rsid w:val="005C3CE5"/>
    <w:rsid w:val="005C67B1"/>
    <w:rsid w:val="005D6B5D"/>
    <w:rsid w:val="005D7566"/>
    <w:rsid w:val="005E38B9"/>
    <w:rsid w:val="005F08F4"/>
    <w:rsid w:val="005F3EDA"/>
    <w:rsid w:val="006041D2"/>
    <w:rsid w:val="006059F5"/>
    <w:rsid w:val="00607853"/>
    <w:rsid w:val="00610525"/>
    <w:rsid w:val="0061279B"/>
    <w:rsid w:val="006207DC"/>
    <w:rsid w:val="006227FC"/>
    <w:rsid w:val="006446FA"/>
    <w:rsid w:val="00651B6F"/>
    <w:rsid w:val="00671538"/>
    <w:rsid w:val="006A7CC6"/>
    <w:rsid w:val="006C063C"/>
    <w:rsid w:val="006C181B"/>
    <w:rsid w:val="006C2F67"/>
    <w:rsid w:val="006C5538"/>
    <w:rsid w:val="006D2EC9"/>
    <w:rsid w:val="006E5DF1"/>
    <w:rsid w:val="006F3455"/>
    <w:rsid w:val="006F383E"/>
    <w:rsid w:val="006F5189"/>
    <w:rsid w:val="00705C30"/>
    <w:rsid w:val="007076EB"/>
    <w:rsid w:val="0071134B"/>
    <w:rsid w:val="00711EA2"/>
    <w:rsid w:val="00713FD4"/>
    <w:rsid w:val="00714C1C"/>
    <w:rsid w:val="0072099B"/>
    <w:rsid w:val="007266EE"/>
    <w:rsid w:val="007317B3"/>
    <w:rsid w:val="00733BE4"/>
    <w:rsid w:val="007379D0"/>
    <w:rsid w:val="00740B5C"/>
    <w:rsid w:val="0075126B"/>
    <w:rsid w:val="00752DEF"/>
    <w:rsid w:val="00772843"/>
    <w:rsid w:val="00782E40"/>
    <w:rsid w:val="00782F5F"/>
    <w:rsid w:val="0079099F"/>
    <w:rsid w:val="007A23E0"/>
    <w:rsid w:val="007A5255"/>
    <w:rsid w:val="007B3B75"/>
    <w:rsid w:val="007C35A2"/>
    <w:rsid w:val="007C5FDF"/>
    <w:rsid w:val="007D6332"/>
    <w:rsid w:val="007D7149"/>
    <w:rsid w:val="007D7A4F"/>
    <w:rsid w:val="007E307C"/>
    <w:rsid w:val="008041F0"/>
    <w:rsid w:val="00810371"/>
    <w:rsid w:val="0081190A"/>
    <w:rsid w:val="0083272A"/>
    <w:rsid w:val="00835CB8"/>
    <w:rsid w:val="00836269"/>
    <w:rsid w:val="008440B7"/>
    <w:rsid w:val="0084551C"/>
    <w:rsid w:val="00846C7D"/>
    <w:rsid w:val="00850450"/>
    <w:rsid w:val="0085729E"/>
    <w:rsid w:val="008608A7"/>
    <w:rsid w:val="008620E0"/>
    <w:rsid w:val="0086594E"/>
    <w:rsid w:val="00867AF0"/>
    <w:rsid w:val="00867BC7"/>
    <w:rsid w:val="00874115"/>
    <w:rsid w:val="008802EF"/>
    <w:rsid w:val="00881852"/>
    <w:rsid w:val="00883A21"/>
    <w:rsid w:val="00894C2D"/>
    <w:rsid w:val="00896947"/>
    <w:rsid w:val="00896D4D"/>
    <w:rsid w:val="008A2E15"/>
    <w:rsid w:val="008B429E"/>
    <w:rsid w:val="008B5547"/>
    <w:rsid w:val="008C510E"/>
    <w:rsid w:val="008D324A"/>
    <w:rsid w:val="008E1A71"/>
    <w:rsid w:val="008F41AB"/>
    <w:rsid w:val="008F5AAA"/>
    <w:rsid w:val="00904DFD"/>
    <w:rsid w:val="00912EFB"/>
    <w:rsid w:val="009178FC"/>
    <w:rsid w:val="009179CA"/>
    <w:rsid w:val="00921481"/>
    <w:rsid w:val="00947462"/>
    <w:rsid w:val="00951C45"/>
    <w:rsid w:val="0095450B"/>
    <w:rsid w:val="009600C0"/>
    <w:rsid w:val="00962FF8"/>
    <w:rsid w:val="00964581"/>
    <w:rsid w:val="009A6F5D"/>
    <w:rsid w:val="009A769B"/>
    <w:rsid w:val="009B141C"/>
    <w:rsid w:val="009B1C16"/>
    <w:rsid w:val="009B6CB0"/>
    <w:rsid w:val="009E06BA"/>
    <w:rsid w:val="009F338B"/>
    <w:rsid w:val="00A329AE"/>
    <w:rsid w:val="00A3526D"/>
    <w:rsid w:val="00A44BA3"/>
    <w:rsid w:val="00A45F40"/>
    <w:rsid w:val="00A62763"/>
    <w:rsid w:val="00A6334C"/>
    <w:rsid w:val="00A64F4B"/>
    <w:rsid w:val="00A76D69"/>
    <w:rsid w:val="00A91F2A"/>
    <w:rsid w:val="00A95B59"/>
    <w:rsid w:val="00A97C99"/>
    <w:rsid w:val="00AA4FB1"/>
    <w:rsid w:val="00AC3A10"/>
    <w:rsid w:val="00AC44F9"/>
    <w:rsid w:val="00AD5461"/>
    <w:rsid w:val="00AD5B17"/>
    <w:rsid w:val="00AD6341"/>
    <w:rsid w:val="00AD7FAE"/>
    <w:rsid w:val="00AE580B"/>
    <w:rsid w:val="00B048DD"/>
    <w:rsid w:val="00B13040"/>
    <w:rsid w:val="00B1401B"/>
    <w:rsid w:val="00B16847"/>
    <w:rsid w:val="00B20C4C"/>
    <w:rsid w:val="00B318EF"/>
    <w:rsid w:val="00B34F30"/>
    <w:rsid w:val="00B3613D"/>
    <w:rsid w:val="00B5077B"/>
    <w:rsid w:val="00B51059"/>
    <w:rsid w:val="00B53507"/>
    <w:rsid w:val="00B5397D"/>
    <w:rsid w:val="00B66562"/>
    <w:rsid w:val="00B70ECD"/>
    <w:rsid w:val="00B7613C"/>
    <w:rsid w:val="00B81E4B"/>
    <w:rsid w:val="00B83349"/>
    <w:rsid w:val="00B9226F"/>
    <w:rsid w:val="00BA7DC7"/>
    <w:rsid w:val="00BB5ED4"/>
    <w:rsid w:val="00BB7573"/>
    <w:rsid w:val="00BC5123"/>
    <w:rsid w:val="00BD618B"/>
    <w:rsid w:val="00BE0199"/>
    <w:rsid w:val="00C02C62"/>
    <w:rsid w:val="00C14757"/>
    <w:rsid w:val="00C202ED"/>
    <w:rsid w:val="00C272F1"/>
    <w:rsid w:val="00C30203"/>
    <w:rsid w:val="00C36DEA"/>
    <w:rsid w:val="00C456A0"/>
    <w:rsid w:val="00C47587"/>
    <w:rsid w:val="00C52F19"/>
    <w:rsid w:val="00C55A4C"/>
    <w:rsid w:val="00C60CE7"/>
    <w:rsid w:val="00C703A7"/>
    <w:rsid w:val="00C72BED"/>
    <w:rsid w:val="00C86461"/>
    <w:rsid w:val="00C86EA6"/>
    <w:rsid w:val="00C878D8"/>
    <w:rsid w:val="00C91AD9"/>
    <w:rsid w:val="00C92353"/>
    <w:rsid w:val="00C94851"/>
    <w:rsid w:val="00C95C2D"/>
    <w:rsid w:val="00CC4835"/>
    <w:rsid w:val="00CC5DF2"/>
    <w:rsid w:val="00CE4A26"/>
    <w:rsid w:val="00CF6B0F"/>
    <w:rsid w:val="00CF6EC2"/>
    <w:rsid w:val="00D01FFA"/>
    <w:rsid w:val="00D16118"/>
    <w:rsid w:val="00D163AC"/>
    <w:rsid w:val="00D32B4F"/>
    <w:rsid w:val="00D45E84"/>
    <w:rsid w:val="00D610DC"/>
    <w:rsid w:val="00D6402B"/>
    <w:rsid w:val="00D71353"/>
    <w:rsid w:val="00DA7D06"/>
    <w:rsid w:val="00DB01B4"/>
    <w:rsid w:val="00DB0D2B"/>
    <w:rsid w:val="00DB3BFE"/>
    <w:rsid w:val="00DB511E"/>
    <w:rsid w:val="00DC780D"/>
    <w:rsid w:val="00DD3EDC"/>
    <w:rsid w:val="00DE6CCB"/>
    <w:rsid w:val="00DF0E76"/>
    <w:rsid w:val="00E00ECC"/>
    <w:rsid w:val="00E01C50"/>
    <w:rsid w:val="00E04EC5"/>
    <w:rsid w:val="00E123DA"/>
    <w:rsid w:val="00E16AA1"/>
    <w:rsid w:val="00E21E3B"/>
    <w:rsid w:val="00E30838"/>
    <w:rsid w:val="00E350AF"/>
    <w:rsid w:val="00E50A13"/>
    <w:rsid w:val="00E5675F"/>
    <w:rsid w:val="00E630B5"/>
    <w:rsid w:val="00E6744E"/>
    <w:rsid w:val="00E70E6F"/>
    <w:rsid w:val="00E71C72"/>
    <w:rsid w:val="00E83BFC"/>
    <w:rsid w:val="00EA16CA"/>
    <w:rsid w:val="00EC03EA"/>
    <w:rsid w:val="00EC3498"/>
    <w:rsid w:val="00EC4DFE"/>
    <w:rsid w:val="00EF0AF0"/>
    <w:rsid w:val="00EF48C3"/>
    <w:rsid w:val="00EF67B2"/>
    <w:rsid w:val="00F105C8"/>
    <w:rsid w:val="00F13A90"/>
    <w:rsid w:val="00F37D5D"/>
    <w:rsid w:val="00F6005D"/>
    <w:rsid w:val="00F62A28"/>
    <w:rsid w:val="00F64874"/>
    <w:rsid w:val="00F717D7"/>
    <w:rsid w:val="00F83DD2"/>
    <w:rsid w:val="00F85CAC"/>
    <w:rsid w:val="00FC131F"/>
    <w:rsid w:val="00FC4C3A"/>
    <w:rsid w:val="00FD11DA"/>
    <w:rsid w:val="00FD305B"/>
    <w:rsid w:val="00FE3B01"/>
    <w:rsid w:val="00FF4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7E145"/>
  <w15:docId w15:val="{5EF08ECC-3C4C-4268-9E89-AD382E590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EC03EA"/>
    <w:pPr>
      <w:widowControl w:val="0"/>
      <w:spacing w:before="16" w:after="0" w:line="240" w:lineRule="auto"/>
      <w:ind w:left="120"/>
      <w:outlineLvl w:val="0"/>
    </w:pPr>
    <w:rPr>
      <w:rFonts w:ascii="Montserrat-SemiBold" w:eastAsia="Montserrat-SemiBold" w:hAnsi="Montserrat-SemiBold"/>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1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EC03EA"/>
    <w:rPr>
      <w:rFonts w:ascii="Montserrat-SemiBold" w:eastAsia="Montserrat-SemiBold" w:hAnsi="Montserrat-SemiBold"/>
      <w:b/>
      <w:bCs/>
      <w:sz w:val="28"/>
      <w:szCs w:val="28"/>
      <w:lang w:val="en-US"/>
    </w:rPr>
  </w:style>
  <w:style w:type="paragraph" w:styleId="BalloonText">
    <w:name w:val="Balloon Text"/>
    <w:basedOn w:val="Normal"/>
    <w:link w:val="BalloonTextChar"/>
    <w:uiPriority w:val="99"/>
    <w:semiHidden/>
    <w:unhideWhenUsed/>
    <w:rsid w:val="00BB7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5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0382975">
      <w:bodyDiv w:val="1"/>
      <w:marLeft w:val="0"/>
      <w:marRight w:val="0"/>
      <w:marTop w:val="0"/>
      <w:marBottom w:val="0"/>
      <w:divBdr>
        <w:top w:val="none" w:sz="0" w:space="0" w:color="auto"/>
        <w:left w:val="none" w:sz="0" w:space="0" w:color="auto"/>
        <w:bottom w:val="none" w:sz="0" w:space="0" w:color="auto"/>
        <w:right w:val="none" w:sz="0" w:space="0" w:color="auto"/>
      </w:divBdr>
    </w:div>
    <w:div w:id="192337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png"/></Relationships>
</file>

<file path=word/theme/theme1.xml><?xml version="1.0" encoding="utf-8"?>
<a:theme xmlns:a="http://schemas.openxmlformats.org/drawingml/2006/main" name="North Star">
  <a:themeElements>
    <a:clrScheme name="North Star">
      <a:dk1>
        <a:sysClr val="windowText" lastClr="000000"/>
      </a:dk1>
      <a:lt1>
        <a:sysClr val="window" lastClr="FFFFFF"/>
      </a:lt1>
      <a:dk2>
        <a:srgbClr val="1F497D"/>
      </a:dk2>
      <a:lt2>
        <a:srgbClr val="EEECE1"/>
      </a:lt2>
      <a:accent1>
        <a:srgbClr val="004A8B"/>
      </a:accent1>
      <a:accent2>
        <a:srgbClr val="1BAEE5"/>
      </a:accent2>
      <a:accent3>
        <a:srgbClr val="AFCA0B"/>
      </a:accent3>
      <a:accent4>
        <a:srgbClr val="00A092"/>
      </a:accent4>
      <a:accent5>
        <a:srgbClr val="4BACC6"/>
      </a:accent5>
      <a:accent6>
        <a:srgbClr val="F79646"/>
      </a:accent6>
      <a:hlink>
        <a:srgbClr val="0000FF"/>
      </a:hlink>
      <a:folHlink>
        <a:srgbClr val="800080"/>
      </a:folHlink>
    </a:clrScheme>
    <a:fontScheme name="North Star">
      <a:majorFont>
        <a:latin typeface="Montserrat"/>
        <a:ea typeface=""/>
        <a:cs typeface=""/>
      </a:majorFont>
      <a:minorFont>
        <a:latin typeface="Montserra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7E7AE6AAD52C4EB1A1838D9972B64A" ma:contentTypeVersion="4" ma:contentTypeDescription="Create a new document." ma:contentTypeScope="" ma:versionID="1cbbce11ee609644a6927c9eb35379b6">
  <xsd:schema xmlns:xsd="http://www.w3.org/2001/XMLSchema" xmlns:xs="http://www.w3.org/2001/XMLSchema" xmlns:p="http://schemas.microsoft.com/office/2006/metadata/properties" xmlns:ns3="ad7a1acc-2308-45fc-8bfe-743ebfc37e73" targetNamespace="http://schemas.microsoft.com/office/2006/metadata/properties" ma:root="true" ma:fieldsID="c78b4d81ec8158dc7ff502fc3dde9fd0" ns3:_="">
    <xsd:import namespace="ad7a1acc-2308-45fc-8bfe-743ebfc37e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a1acc-2308-45fc-8bfe-743ebfc37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16B87F-DB47-48AA-BCB4-30B719091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7a1acc-2308-45fc-8bfe-743ebfc37e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838B5A-5925-4727-A6A2-1BAFBCBB5509}">
  <ds:schemaRefs>
    <ds:schemaRef ds:uri="http://schemas.openxmlformats.org/officeDocument/2006/bibliography"/>
  </ds:schemaRefs>
</ds:datastoreItem>
</file>

<file path=customXml/itemProps3.xml><?xml version="1.0" encoding="utf-8"?>
<ds:datastoreItem xmlns:ds="http://schemas.openxmlformats.org/officeDocument/2006/customXml" ds:itemID="{B7F7063D-E9DD-4E1F-B369-89BA949E75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1026FC-0A9E-4CC3-B255-87241EEE98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Your Organization Name</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Richardson</dc:creator>
  <cp:lastModifiedBy>Katherine Allen</cp:lastModifiedBy>
  <cp:revision>10</cp:revision>
  <cp:lastPrinted>2020-01-31T14:24:00Z</cp:lastPrinted>
  <dcterms:created xsi:type="dcterms:W3CDTF">2022-03-30T13:12:00Z</dcterms:created>
  <dcterms:modified xsi:type="dcterms:W3CDTF">2022-04-26T14:24:00Z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0x010100647E7AE6AAD52C4EB1A1838D9972B64A</vt:lpwstr>
  </property>
</Properties>
</file>