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312C76AB"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w:t>
      </w:r>
      <w:r w:rsidR="003D7B22">
        <w:rPr>
          <w:rFonts w:ascii="Montserrat" w:eastAsia="Hero" w:hAnsi="Montserrat" w:cs="Hero"/>
          <w:b/>
          <w:color w:val="1BAEE5"/>
          <w:sz w:val="32"/>
          <w:szCs w:val="32"/>
        </w:rPr>
        <w:t>September</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2612CE1E" w:rsidR="00454E09" w:rsidRPr="00EC03EA" w:rsidRDefault="003F713F" w:rsidP="00EA16CA">
            <w:pPr>
              <w:jc w:val="center"/>
              <w:rPr>
                <w:sz w:val="20"/>
                <w:szCs w:val="20"/>
              </w:rPr>
            </w:pPr>
            <w:r>
              <w:rPr>
                <w:sz w:val="20"/>
                <w:szCs w:val="20"/>
              </w:rPr>
              <w:t>99.9%</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2A41CAAE" w:rsidR="00FD11DA" w:rsidRDefault="00570089" w:rsidP="00FD11DA">
            <w:pPr>
              <w:jc w:val="center"/>
              <w:rPr>
                <w:sz w:val="20"/>
                <w:szCs w:val="20"/>
              </w:rPr>
            </w:pPr>
            <w:r>
              <w:rPr>
                <w:sz w:val="20"/>
                <w:szCs w:val="20"/>
              </w:rPr>
              <w:t>89%</w:t>
            </w:r>
          </w:p>
        </w:tc>
        <w:tc>
          <w:tcPr>
            <w:tcW w:w="1310" w:type="dxa"/>
          </w:tcPr>
          <w:p w14:paraId="0E4CDF26" w14:textId="4B19A4F4" w:rsidR="00FD11DA" w:rsidRPr="00EC03EA" w:rsidRDefault="00A45F40" w:rsidP="00FD11DA">
            <w:pPr>
              <w:jc w:val="center"/>
              <w:rPr>
                <w:rFonts w:ascii="Montserrat" w:hAnsi="Montserrat"/>
                <w:b/>
                <w:noProof/>
                <w:sz w:val="20"/>
                <w:szCs w:val="20"/>
                <w:lang w:eastAsia="en-GB"/>
              </w:rPr>
            </w:pPr>
            <w:r w:rsidRPr="00EC03EA">
              <w:rPr>
                <w:rFonts w:ascii="Montserrat" w:hAnsi="Montserrat"/>
                <w:b/>
                <w:noProof/>
                <w:sz w:val="20"/>
                <w:szCs w:val="20"/>
                <w:lang w:eastAsia="en-GB"/>
              </w:rPr>
              <w:drawing>
                <wp:inline distT="0" distB="0" distL="0" distR="0" wp14:anchorId="31D9F74A" wp14:editId="11F092C6">
                  <wp:extent cx="321468" cy="2571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5BDCD5FB" w14:textId="48F0ED78" w:rsidR="003070FC" w:rsidRPr="003070FC" w:rsidRDefault="003070FC" w:rsidP="003070FC">
            <w:pPr>
              <w:rPr>
                <w:rFonts w:ascii="Montserrat" w:hAnsi="Montserrat"/>
                <w:sz w:val="20"/>
                <w:szCs w:val="20"/>
              </w:rPr>
            </w:pPr>
            <w:r>
              <w:rPr>
                <w:rFonts w:ascii="Montserrat" w:hAnsi="Montserrat"/>
                <w:sz w:val="20"/>
                <w:szCs w:val="20"/>
              </w:rPr>
              <w:t>Six</w:t>
            </w:r>
            <w:r w:rsidRPr="003070FC">
              <w:rPr>
                <w:rFonts w:ascii="Montserrat" w:hAnsi="Montserrat"/>
                <w:sz w:val="20"/>
                <w:szCs w:val="20"/>
              </w:rPr>
              <w:t xml:space="preserve"> properties had overdue has services at the end of September. We continue to work closely with the customers to try and gain access but have had to commence legal proceedings where customers have not engaged with the process. </w:t>
            </w:r>
          </w:p>
          <w:p w14:paraId="103328B1" w14:textId="77777777" w:rsidR="003D7B22" w:rsidRDefault="003D7B22" w:rsidP="00FD11DA">
            <w:pPr>
              <w:rPr>
                <w:rFonts w:ascii="Montserrat" w:hAnsi="Montserrat"/>
                <w:sz w:val="20"/>
                <w:szCs w:val="20"/>
                <w:lang w:eastAsia="en-GB"/>
              </w:rPr>
            </w:pPr>
          </w:p>
          <w:p w14:paraId="009834DF" w14:textId="183C5B68" w:rsidR="00FD11DA" w:rsidRPr="00867AF0" w:rsidRDefault="00A45F40" w:rsidP="00FD11DA">
            <w:pPr>
              <w:rPr>
                <w:rFonts w:ascii="Montserrat" w:hAnsi="Montserrat"/>
                <w:b/>
                <w:bCs/>
                <w:noProof/>
                <w:sz w:val="20"/>
                <w:szCs w:val="20"/>
                <w:lang w:eastAsia="en-GB"/>
              </w:rPr>
            </w:pPr>
            <w:r w:rsidRPr="00867AF0">
              <w:rPr>
                <w:rFonts w:ascii="Montserrat" w:hAnsi="Montserrat"/>
                <w:b/>
                <w:bCs/>
                <w:noProof/>
                <w:sz w:val="20"/>
                <w:szCs w:val="20"/>
                <w:lang w:eastAsia="en-GB"/>
              </w:rPr>
              <w:t>% satisfaction with repair</w:t>
            </w:r>
            <w:r w:rsidR="00867AF0" w:rsidRPr="00867AF0">
              <w:rPr>
                <w:rFonts w:ascii="Montserrat" w:hAnsi="Montserrat"/>
                <w:b/>
                <w:bCs/>
                <w:noProof/>
                <w:sz w:val="20"/>
                <w:szCs w:val="20"/>
                <w:lang w:eastAsia="en-GB"/>
              </w:rPr>
              <w:t>:</w:t>
            </w:r>
          </w:p>
          <w:p w14:paraId="62DBC9BA" w14:textId="1E5A6C86" w:rsidR="009B141C" w:rsidRDefault="001A7520" w:rsidP="009B141C">
            <w:pPr>
              <w:rPr>
                <w:rFonts w:ascii="Montserrat" w:hAnsi="Montserrat"/>
                <w:b/>
                <w:noProof/>
                <w:sz w:val="20"/>
                <w:szCs w:val="20"/>
                <w:lang w:eastAsia="en-GB"/>
              </w:rPr>
            </w:pPr>
            <w:r>
              <w:rPr>
                <w:rFonts w:ascii="Montserrat" w:hAnsi="Montserrat"/>
                <w:bCs/>
                <w:sz w:val="20"/>
                <w:szCs w:val="20"/>
              </w:rPr>
              <w:t xml:space="preserve">11 of the 97 customers surveyed stated they were unhappy with their most recent repair. Those unhappy with their repair stated that some works remained outstanding. All customer unhappy within their repair have been contacted and actions taken to address their concerns. </w:t>
            </w:r>
          </w:p>
          <w:p w14:paraId="3A5FB1CE" w14:textId="3867029B" w:rsidR="009B141C" w:rsidRPr="00EC03EA" w:rsidRDefault="009B141C" w:rsidP="009B141C">
            <w:pPr>
              <w:rPr>
                <w:rFonts w:ascii="Montserrat" w:hAnsi="Montserrat"/>
                <w:b/>
                <w:noProof/>
                <w:sz w:val="20"/>
                <w:szCs w:val="20"/>
                <w:lang w:eastAsia="en-GB"/>
              </w:rPr>
            </w:pP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0F57C2BD" w:rsidR="00C94851" w:rsidRPr="008C510E" w:rsidRDefault="00B53507" w:rsidP="00C94851">
            <w:pPr>
              <w:jc w:val="center"/>
              <w:rPr>
                <w:sz w:val="20"/>
                <w:szCs w:val="20"/>
              </w:rPr>
            </w:pPr>
            <w:r>
              <w:rPr>
                <w:sz w:val="20"/>
                <w:szCs w:val="20"/>
              </w:rPr>
              <w:t>0.91%</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22B0C9F0" w:rsidR="00C94851" w:rsidRPr="008C510E" w:rsidRDefault="0086594E" w:rsidP="00BB7573">
            <w:pPr>
              <w:jc w:val="center"/>
              <w:rPr>
                <w:sz w:val="20"/>
                <w:szCs w:val="20"/>
              </w:rPr>
            </w:pPr>
            <w:r>
              <w:rPr>
                <w:sz w:val="20"/>
                <w:szCs w:val="20"/>
              </w:rPr>
              <w:t>20.5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6EBEC0D7" w:rsidR="00F64874" w:rsidRPr="008C510E" w:rsidRDefault="00947462" w:rsidP="00782F5F">
            <w:pPr>
              <w:jc w:val="center"/>
              <w:rPr>
                <w:sz w:val="20"/>
                <w:szCs w:val="20"/>
              </w:rPr>
            </w:pPr>
            <w:r>
              <w:rPr>
                <w:sz w:val="20"/>
                <w:szCs w:val="20"/>
              </w:rPr>
              <w:t>2.</w:t>
            </w:r>
            <w:r w:rsidR="009B141C">
              <w:rPr>
                <w:sz w:val="20"/>
                <w:szCs w:val="20"/>
              </w:rPr>
              <w:t>57</w:t>
            </w:r>
            <w:r>
              <w:rPr>
                <w:sz w:val="20"/>
                <w:szCs w:val="20"/>
              </w:rPr>
              <w:t>%</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3A7A0DD8"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7771F31A" w14:textId="06538B06" w:rsidR="003F713F" w:rsidRDefault="00E630B5" w:rsidP="00C36DEA">
            <w:pPr>
              <w:rPr>
                <w:rFonts w:ascii="Montserrat" w:hAnsi="Montserrat"/>
                <w:b/>
                <w:noProof/>
                <w:sz w:val="20"/>
                <w:szCs w:val="20"/>
                <w:lang w:eastAsia="en-GB"/>
              </w:rPr>
            </w:pPr>
            <w:r w:rsidRPr="00C3444E">
              <w:rPr>
                <w:rFonts w:ascii="Montserrat" w:hAnsi="Montserrat"/>
                <w:bCs/>
                <w:noProof/>
                <w:sz w:val="20"/>
                <w:szCs w:val="20"/>
                <w:lang w:eastAsia="en-GB"/>
              </w:rPr>
              <w:t xml:space="preserve">As a result of the pandemic and the ending of furlough, we are seeing more tenants move onto universal credit which is impacting our performance as this is paid monthly and in arrrears. We continue to support our tenants through our Welfare Benefit Team by ensuring they are receiving all the income they are entitled to and by applying for grants and funding where appropriate. We </w:t>
            </w:r>
            <w:r>
              <w:rPr>
                <w:rFonts w:ascii="Montserrat" w:hAnsi="Montserrat"/>
                <w:bCs/>
                <w:noProof/>
                <w:sz w:val="20"/>
                <w:szCs w:val="20"/>
                <w:lang w:eastAsia="en-GB"/>
              </w:rPr>
              <w:t xml:space="preserve">continue to </w:t>
            </w:r>
            <w:r w:rsidRPr="00C3444E">
              <w:rPr>
                <w:rFonts w:ascii="Montserrat" w:hAnsi="Montserrat"/>
                <w:bCs/>
                <w:noProof/>
                <w:sz w:val="20"/>
                <w:szCs w:val="20"/>
                <w:lang w:eastAsia="en-GB"/>
              </w:rPr>
              <w:t>work closely with other organisations to support our tenants including CAB, Stepchange, Green Doctor etc.</w:t>
            </w:r>
          </w:p>
          <w:p w14:paraId="6710D02C" w14:textId="56534B4A" w:rsidR="005636DF" w:rsidRPr="00E83BFC" w:rsidRDefault="005636DF" w:rsidP="009B141C">
            <w:pPr>
              <w:rPr>
                <w:rFonts w:ascii="Montserrat" w:hAnsi="Montserrat"/>
                <w:bCs/>
                <w:noProof/>
                <w:sz w:val="20"/>
                <w:szCs w:val="20"/>
                <w:lang w:eastAsia="en-GB"/>
              </w:rPr>
            </w:pPr>
          </w:p>
        </w:tc>
      </w:tr>
    </w:tbl>
    <w:p w14:paraId="641B78B4" w14:textId="4E0917C1" w:rsidR="00BB5ED4" w:rsidRDefault="00BB5ED4" w:rsidP="00C94851">
      <w:pPr>
        <w:rPr>
          <w:sz w:val="24"/>
          <w:szCs w:val="24"/>
        </w:rPr>
      </w:pPr>
    </w:p>
    <w:p w14:paraId="4DE13841" w14:textId="77777777" w:rsidR="00E630B5" w:rsidRDefault="00E630B5"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lastRenderedPageBreak/>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1A571C50" w:rsidR="00EC03EA" w:rsidRPr="008C510E" w:rsidRDefault="00075584" w:rsidP="00DB511E">
            <w:pPr>
              <w:jc w:val="center"/>
              <w:rPr>
                <w:sz w:val="20"/>
                <w:szCs w:val="20"/>
              </w:rPr>
            </w:pPr>
            <w:r>
              <w:rPr>
                <w:sz w:val="20"/>
                <w:szCs w:val="20"/>
              </w:rPr>
              <w:t>84%</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DD4223E" w14:textId="77777777" w:rsidR="00C47587"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r w:rsidR="007317B3">
              <w:rPr>
                <w:rFonts w:ascii="Montserrat" w:hAnsi="Montserrat"/>
                <w:b/>
                <w:noProof/>
                <w:sz w:val="20"/>
                <w:szCs w:val="20"/>
                <w:lang w:eastAsia="en-GB"/>
              </w:rPr>
              <w:t>:</w:t>
            </w:r>
          </w:p>
          <w:p w14:paraId="711D6BB4" w14:textId="77777777" w:rsidR="00224F47" w:rsidRDefault="00224F47" w:rsidP="00224F47">
            <w:pPr>
              <w:rPr>
                <w:rFonts w:ascii="Montserrat" w:hAnsi="Montserrat"/>
                <w:bCs/>
                <w:noProof/>
                <w:sz w:val="20"/>
                <w:szCs w:val="20"/>
                <w:lang w:eastAsia="en-GB"/>
              </w:rPr>
            </w:pPr>
            <w:r>
              <w:rPr>
                <w:rFonts w:ascii="Montserrat" w:hAnsi="Montserrat"/>
                <w:bCs/>
                <w:noProof/>
                <w:sz w:val="20"/>
                <w:szCs w:val="20"/>
                <w:lang w:eastAsia="en-GB"/>
              </w:rPr>
              <w:t xml:space="preserve">We have seen performance improve from last month however we continue to see high levels of calls coming into North Star with calls taking longer which is impacting our performance. </w:t>
            </w:r>
          </w:p>
          <w:p w14:paraId="10B9C5B7" w14:textId="77777777" w:rsidR="00224F47" w:rsidRDefault="00224F47" w:rsidP="00224F47">
            <w:pPr>
              <w:rPr>
                <w:rFonts w:ascii="Montserrat" w:hAnsi="Montserrat"/>
                <w:bCs/>
                <w:noProof/>
                <w:sz w:val="20"/>
                <w:szCs w:val="20"/>
                <w:lang w:eastAsia="en-GB"/>
              </w:rPr>
            </w:pPr>
          </w:p>
          <w:p w14:paraId="41E2B18E" w14:textId="77777777" w:rsidR="00224F47" w:rsidRDefault="00224F47" w:rsidP="00224F47">
            <w:pPr>
              <w:rPr>
                <w:rFonts w:ascii="Montserrat" w:hAnsi="Montserrat"/>
                <w:bCs/>
                <w:noProof/>
                <w:sz w:val="20"/>
                <w:szCs w:val="20"/>
                <w:lang w:eastAsia="en-GB"/>
              </w:rPr>
            </w:pPr>
            <w:r>
              <w:rPr>
                <w:rFonts w:ascii="Montserrat" w:hAnsi="Montserrat"/>
                <w:bCs/>
                <w:noProof/>
                <w:sz w:val="20"/>
                <w:szCs w:val="20"/>
                <w:lang w:eastAsia="en-GB"/>
              </w:rPr>
              <w:t xml:space="preserve">We have introduced a new real time feedback service for our repairs and customer services team. We are seeing a high response rate from these surveys. Any customer who expresses dis-satisfaction is contacted within one working day to resolve any outstanding items. </w:t>
            </w:r>
          </w:p>
          <w:p w14:paraId="30C277A4" w14:textId="77777777" w:rsidR="00224F47" w:rsidRDefault="00224F47" w:rsidP="00224F47">
            <w:pPr>
              <w:rPr>
                <w:rFonts w:ascii="Montserrat" w:hAnsi="Montserrat"/>
                <w:bCs/>
                <w:noProof/>
                <w:sz w:val="20"/>
                <w:szCs w:val="20"/>
                <w:lang w:eastAsia="en-GB"/>
              </w:rPr>
            </w:pPr>
          </w:p>
          <w:p w14:paraId="199AF3BE" w14:textId="58DAACE5" w:rsidR="00BB5ED4" w:rsidRDefault="00224F47" w:rsidP="003F25CA">
            <w:pPr>
              <w:rPr>
                <w:rFonts w:ascii="Montserrat" w:hAnsi="Montserrat"/>
                <w:bCs/>
                <w:noProof/>
                <w:sz w:val="20"/>
                <w:szCs w:val="20"/>
                <w:lang w:eastAsia="en-GB"/>
              </w:rPr>
            </w:pPr>
            <w:r>
              <w:rPr>
                <w:rFonts w:ascii="Montserrat" w:hAnsi="Montserrat"/>
                <w:bCs/>
                <w:noProof/>
                <w:sz w:val="20"/>
                <w:szCs w:val="20"/>
                <w:lang w:eastAsia="en-GB"/>
              </w:rPr>
              <w:t>We have introduced a ‘live chat’ feature on our website to provide customers with another channel of communication with North Star.</w:t>
            </w:r>
          </w:p>
          <w:p w14:paraId="1E1C69A2" w14:textId="73623512" w:rsidR="00BB5ED4" w:rsidRPr="006F3455" w:rsidRDefault="00BB5ED4" w:rsidP="003F25CA">
            <w:pPr>
              <w:rPr>
                <w:rFonts w:ascii="Montserrat" w:hAnsi="Montserrat"/>
                <w:bCs/>
                <w:noProof/>
                <w:sz w:val="20"/>
                <w:szCs w:val="20"/>
                <w:lang w:eastAsia="en-GB"/>
              </w:rPr>
            </w:pP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584"/>
    <w:rsid w:val="000758BE"/>
    <w:rsid w:val="00085880"/>
    <w:rsid w:val="00096C62"/>
    <w:rsid w:val="000A0F28"/>
    <w:rsid w:val="000A1E9F"/>
    <w:rsid w:val="000C31D6"/>
    <w:rsid w:val="000D2C99"/>
    <w:rsid w:val="000D3E20"/>
    <w:rsid w:val="000E4C13"/>
    <w:rsid w:val="000F2036"/>
    <w:rsid w:val="00103D9E"/>
    <w:rsid w:val="00115C6D"/>
    <w:rsid w:val="00127ED0"/>
    <w:rsid w:val="00130F33"/>
    <w:rsid w:val="00131D48"/>
    <w:rsid w:val="0014705C"/>
    <w:rsid w:val="001A1E69"/>
    <w:rsid w:val="001A5D37"/>
    <w:rsid w:val="001A667D"/>
    <w:rsid w:val="001A7520"/>
    <w:rsid w:val="001C0E75"/>
    <w:rsid w:val="001D3BBC"/>
    <w:rsid w:val="001E1677"/>
    <w:rsid w:val="001F12E2"/>
    <w:rsid w:val="001F7163"/>
    <w:rsid w:val="00202C06"/>
    <w:rsid w:val="002040EA"/>
    <w:rsid w:val="002141C2"/>
    <w:rsid w:val="00224F47"/>
    <w:rsid w:val="00227401"/>
    <w:rsid w:val="002471A9"/>
    <w:rsid w:val="00247299"/>
    <w:rsid w:val="002515A7"/>
    <w:rsid w:val="002A32AA"/>
    <w:rsid w:val="002C3FF2"/>
    <w:rsid w:val="002C425F"/>
    <w:rsid w:val="002C531D"/>
    <w:rsid w:val="002E042D"/>
    <w:rsid w:val="002F1154"/>
    <w:rsid w:val="002F17BF"/>
    <w:rsid w:val="00303464"/>
    <w:rsid w:val="00305500"/>
    <w:rsid w:val="00305A87"/>
    <w:rsid w:val="003070FC"/>
    <w:rsid w:val="00321937"/>
    <w:rsid w:val="00325F34"/>
    <w:rsid w:val="00326139"/>
    <w:rsid w:val="003277D7"/>
    <w:rsid w:val="0033230F"/>
    <w:rsid w:val="00347B82"/>
    <w:rsid w:val="003545FB"/>
    <w:rsid w:val="00372E0D"/>
    <w:rsid w:val="0037604A"/>
    <w:rsid w:val="00385E5C"/>
    <w:rsid w:val="003A6C51"/>
    <w:rsid w:val="003B3C62"/>
    <w:rsid w:val="003C3F17"/>
    <w:rsid w:val="003D1809"/>
    <w:rsid w:val="003D7B22"/>
    <w:rsid w:val="003E08F4"/>
    <w:rsid w:val="003E1183"/>
    <w:rsid w:val="003E1C01"/>
    <w:rsid w:val="003E401B"/>
    <w:rsid w:val="003F25CA"/>
    <w:rsid w:val="003F713F"/>
    <w:rsid w:val="00421F40"/>
    <w:rsid w:val="00454E09"/>
    <w:rsid w:val="00456E91"/>
    <w:rsid w:val="00464507"/>
    <w:rsid w:val="004776E9"/>
    <w:rsid w:val="0049332A"/>
    <w:rsid w:val="0049578E"/>
    <w:rsid w:val="004A0C46"/>
    <w:rsid w:val="004A5156"/>
    <w:rsid w:val="004C3225"/>
    <w:rsid w:val="004E0740"/>
    <w:rsid w:val="004E0AB7"/>
    <w:rsid w:val="004F5642"/>
    <w:rsid w:val="005257D0"/>
    <w:rsid w:val="0055347F"/>
    <w:rsid w:val="005636DF"/>
    <w:rsid w:val="00567807"/>
    <w:rsid w:val="00567DBD"/>
    <w:rsid w:val="00570089"/>
    <w:rsid w:val="00573E33"/>
    <w:rsid w:val="00577D98"/>
    <w:rsid w:val="0058497F"/>
    <w:rsid w:val="00597F2C"/>
    <w:rsid w:val="005C08BF"/>
    <w:rsid w:val="005C3CE5"/>
    <w:rsid w:val="005C67B1"/>
    <w:rsid w:val="005D6B5D"/>
    <w:rsid w:val="005D7566"/>
    <w:rsid w:val="005E38B9"/>
    <w:rsid w:val="005F3EDA"/>
    <w:rsid w:val="006041D2"/>
    <w:rsid w:val="006059F5"/>
    <w:rsid w:val="00607853"/>
    <w:rsid w:val="00610525"/>
    <w:rsid w:val="0061279B"/>
    <w:rsid w:val="006207DC"/>
    <w:rsid w:val="006227FC"/>
    <w:rsid w:val="006446FA"/>
    <w:rsid w:val="00651B6F"/>
    <w:rsid w:val="00671538"/>
    <w:rsid w:val="006A7CC6"/>
    <w:rsid w:val="006C063C"/>
    <w:rsid w:val="006C181B"/>
    <w:rsid w:val="006C2F67"/>
    <w:rsid w:val="006C5538"/>
    <w:rsid w:val="006D2EC9"/>
    <w:rsid w:val="006E5DF1"/>
    <w:rsid w:val="006F3455"/>
    <w:rsid w:val="006F383E"/>
    <w:rsid w:val="00705C30"/>
    <w:rsid w:val="007076EB"/>
    <w:rsid w:val="00711EA2"/>
    <w:rsid w:val="00713FD4"/>
    <w:rsid w:val="00714C1C"/>
    <w:rsid w:val="0072099B"/>
    <w:rsid w:val="007266EE"/>
    <w:rsid w:val="007317B3"/>
    <w:rsid w:val="00733BE4"/>
    <w:rsid w:val="007379D0"/>
    <w:rsid w:val="00740B5C"/>
    <w:rsid w:val="0075126B"/>
    <w:rsid w:val="00772843"/>
    <w:rsid w:val="00782E40"/>
    <w:rsid w:val="00782F5F"/>
    <w:rsid w:val="0079099F"/>
    <w:rsid w:val="007A23E0"/>
    <w:rsid w:val="007A5255"/>
    <w:rsid w:val="007B3B75"/>
    <w:rsid w:val="007C35A2"/>
    <w:rsid w:val="007C5FDF"/>
    <w:rsid w:val="007D6332"/>
    <w:rsid w:val="007D7A4F"/>
    <w:rsid w:val="007E307C"/>
    <w:rsid w:val="008041F0"/>
    <w:rsid w:val="00810371"/>
    <w:rsid w:val="0081190A"/>
    <w:rsid w:val="0083272A"/>
    <w:rsid w:val="008440B7"/>
    <w:rsid w:val="0084551C"/>
    <w:rsid w:val="00846C7D"/>
    <w:rsid w:val="00850450"/>
    <w:rsid w:val="0085729E"/>
    <w:rsid w:val="008608A7"/>
    <w:rsid w:val="0086594E"/>
    <w:rsid w:val="00867AF0"/>
    <w:rsid w:val="00867BC7"/>
    <w:rsid w:val="008802EF"/>
    <w:rsid w:val="00881852"/>
    <w:rsid w:val="00883A21"/>
    <w:rsid w:val="00894C2D"/>
    <w:rsid w:val="00896947"/>
    <w:rsid w:val="008A2E15"/>
    <w:rsid w:val="008B429E"/>
    <w:rsid w:val="008B5547"/>
    <w:rsid w:val="008C510E"/>
    <w:rsid w:val="008D324A"/>
    <w:rsid w:val="008E1A71"/>
    <w:rsid w:val="008F5AAA"/>
    <w:rsid w:val="00904DFD"/>
    <w:rsid w:val="00912EFB"/>
    <w:rsid w:val="009178FC"/>
    <w:rsid w:val="009179CA"/>
    <w:rsid w:val="00921481"/>
    <w:rsid w:val="00947462"/>
    <w:rsid w:val="00951C45"/>
    <w:rsid w:val="0095450B"/>
    <w:rsid w:val="009600C0"/>
    <w:rsid w:val="009A769B"/>
    <w:rsid w:val="009B141C"/>
    <w:rsid w:val="009B6CB0"/>
    <w:rsid w:val="009E06BA"/>
    <w:rsid w:val="009F338B"/>
    <w:rsid w:val="00A329AE"/>
    <w:rsid w:val="00A3526D"/>
    <w:rsid w:val="00A44BA3"/>
    <w:rsid w:val="00A45F40"/>
    <w:rsid w:val="00A62763"/>
    <w:rsid w:val="00A6334C"/>
    <w:rsid w:val="00A64F4B"/>
    <w:rsid w:val="00A76D69"/>
    <w:rsid w:val="00A91F2A"/>
    <w:rsid w:val="00A95B59"/>
    <w:rsid w:val="00A97C99"/>
    <w:rsid w:val="00AA4FB1"/>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507"/>
    <w:rsid w:val="00B5397D"/>
    <w:rsid w:val="00B66562"/>
    <w:rsid w:val="00B70ECD"/>
    <w:rsid w:val="00B7613C"/>
    <w:rsid w:val="00B83349"/>
    <w:rsid w:val="00B9226F"/>
    <w:rsid w:val="00BB5ED4"/>
    <w:rsid w:val="00BB7573"/>
    <w:rsid w:val="00BC5123"/>
    <w:rsid w:val="00BD618B"/>
    <w:rsid w:val="00BE0199"/>
    <w:rsid w:val="00C02C62"/>
    <w:rsid w:val="00C14757"/>
    <w:rsid w:val="00C272F1"/>
    <w:rsid w:val="00C30203"/>
    <w:rsid w:val="00C36DEA"/>
    <w:rsid w:val="00C456A0"/>
    <w:rsid w:val="00C47587"/>
    <w:rsid w:val="00C52F19"/>
    <w:rsid w:val="00C55A4C"/>
    <w:rsid w:val="00C703A7"/>
    <w:rsid w:val="00C72BED"/>
    <w:rsid w:val="00C86461"/>
    <w:rsid w:val="00C878D8"/>
    <w:rsid w:val="00C91AD9"/>
    <w:rsid w:val="00C92353"/>
    <w:rsid w:val="00C94851"/>
    <w:rsid w:val="00C95C2D"/>
    <w:rsid w:val="00CC4835"/>
    <w:rsid w:val="00CC5DF2"/>
    <w:rsid w:val="00CE4A26"/>
    <w:rsid w:val="00CF6EC2"/>
    <w:rsid w:val="00D01FFA"/>
    <w:rsid w:val="00D163AC"/>
    <w:rsid w:val="00D32B4F"/>
    <w:rsid w:val="00D45E84"/>
    <w:rsid w:val="00D610DC"/>
    <w:rsid w:val="00D6402B"/>
    <w:rsid w:val="00D71353"/>
    <w:rsid w:val="00DA7D06"/>
    <w:rsid w:val="00DB01B4"/>
    <w:rsid w:val="00DB0D2B"/>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30B5"/>
    <w:rsid w:val="00E6744E"/>
    <w:rsid w:val="00E70E6F"/>
    <w:rsid w:val="00E71C72"/>
    <w:rsid w:val="00E83BFC"/>
    <w:rsid w:val="00EA16CA"/>
    <w:rsid w:val="00EC03EA"/>
    <w:rsid w:val="00EC3498"/>
    <w:rsid w:val="00EC4DFE"/>
    <w:rsid w:val="00EF0AF0"/>
    <w:rsid w:val="00EF67B2"/>
    <w:rsid w:val="00F105C8"/>
    <w:rsid w:val="00F13A90"/>
    <w:rsid w:val="00F6005D"/>
    <w:rsid w:val="00F62A28"/>
    <w:rsid w:val="00F64874"/>
    <w:rsid w:val="00F717D7"/>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3.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026FC-0A9E-4CC3-B255-87241EEE9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14</cp:revision>
  <cp:lastPrinted>2020-01-31T14:24:00Z</cp:lastPrinted>
  <dcterms:created xsi:type="dcterms:W3CDTF">2021-10-04T10:57:00Z</dcterms:created>
  <dcterms:modified xsi:type="dcterms:W3CDTF">2021-10-25T10:49:00Z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