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145" w14:textId="77777777" w:rsidR="00EA16CA" w:rsidRDefault="00EA16CA" w:rsidP="00EA16CA">
      <w:pPr>
        <w:ind w:left="5040" w:firstLine="720"/>
        <w:jc w:val="center"/>
        <w:rPr>
          <w:sz w:val="24"/>
          <w:szCs w:val="24"/>
        </w:rPr>
      </w:pPr>
      <w:r>
        <w:rPr>
          <w:rFonts w:ascii="Montserrat-SemiBold" w:eastAsia="Montserrat-SemiBold" w:hAnsi="Montserrat-SemiBold" w:cs="Montserrat-SemiBold"/>
          <w:b/>
          <w:bCs/>
          <w:noProof/>
          <w:sz w:val="23"/>
          <w:szCs w:val="23"/>
          <w:lang w:eastAsia="en-GB"/>
        </w:rPr>
        <w:drawing>
          <wp:inline distT="0" distB="0" distL="0" distR="0" wp14:anchorId="5017E19E" wp14:editId="5017E19F">
            <wp:extent cx="2057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Star-logo-STRAP-COLOUR.jpg"/>
                    <pic:cNvPicPr/>
                  </pic:nvPicPr>
                  <pic:blipFill>
                    <a:blip r:embed="rId5">
                      <a:extLst>
                        <a:ext uri="{28A0092B-C50C-407E-A947-70E740481C1C}">
                          <a14:useLocalDpi xmlns:a14="http://schemas.microsoft.com/office/drawing/2010/main" val="0"/>
                        </a:ext>
                      </a:extLst>
                    </a:blip>
                    <a:stretch>
                      <a:fillRect/>
                    </a:stretch>
                  </pic:blipFill>
                  <pic:spPr>
                    <a:xfrm>
                      <a:off x="0" y="0"/>
                      <a:ext cx="2057400" cy="609600"/>
                    </a:xfrm>
                    <a:prstGeom prst="rect">
                      <a:avLst/>
                    </a:prstGeom>
                  </pic:spPr>
                </pic:pic>
              </a:graphicData>
            </a:graphic>
          </wp:inline>
        </w:drawing>
      </w:r>
    </w:p>
    <w:p w14:paraId="5017E146" w14:textId="56320812" w:rsidR="00EA16CA" w:rsidRPr="00EC03EA" w:rsidRDefault="005D6B5D" w:rsidP="00607853">
      <w:pPr>
        <w:tabs>
          <w:tab w:val="left" w:pos="2610"/>
        </w:tabs>
        <w:spacing w:line="247" w:lineRule="auto"/>
        <w:ind w:right="78"/>
        <w:jc w:val="center"/>
        <w:rPr>
          <w:rFonts w:ascii="Montserrat" w:eastAsia="Hero" w:hAnsi="Montserrat" w:cs="Hero"/>
          <w:b/>
          <w:color w:val="1BAEE5"/>
          <w:sz w:val="32"/>
          <w:szCs w:val="32"/>
        </w:rPr>
      </w:pPr>
      <w:r>
        <w:rPr>
          <w:rFonts w:ascii="Montserrat" w:eastAsia="Hero" w:hAnsi="Montserrat" w:cs="Hero"/>
          <w:b/>
          <w:color w:val="1BAEE5"/>
          <w:sz w:val="32"/>
          <w:szCs w:val="32"/>
        </w:rPr>
        <w:t>Performance as at</w:t>
      </w:r>
      <w:r w:rsidR="00740B5C">
        <w:rPr>
          <w:rFonts w:ascii="Montserrat" w:eastAsia="Hero" w:hAnsi="Montserrat" w:cs="Hero"/>
          <w:b/>
          <w:color w:val="1BAEE5"/>
          <w:sz w:val="32"/>
          <w:szCs w:val="32"/>
        </w:rPr>
        <w:t xml:space="preserve"> June</w:t>
      </w:r>
      <w:r w:rsidR="00607853">
        <w:rPr>
          <w:rFonts w:ascii="Montserrat" w:eastAsia="Hero" w:hAnsi="Montserrat" w:cs="Hero"/>
          <w:b/>
          <w:color w:val="1BAEE5"/>
          <w:sz w:val="32"/>
          <w:szCs w:val="32"/>
        </w:rPr>
        <w:t xml:space="preserve"> 2021</w:t>
      </w:r>
    </w:p>
    <w:tbl>
      <w:tblPr>
        <w:tblStyle w:val="TableGrid"/>
        <w:tblW w:w="0" w:type="auto"/>
        <w:tblLook w:val="04A0" w:firstRow="1" w:lastRow="0" w:firstColumn="1" w:lastColumn="0" w:noHBand="0" w:noVBand="1"/>
      </w:tblPr>
      <w:tblGrid>
        <w:gridCol w:w="4757"/>
        <w:gridCol w:w="1121"/>
        <w:gridCol w:w="1828"/>
        <w:gridCol w:w="1310"/>
      </w:tblGrid>
      <w:tr w:rsidR="00EA16CA" w14:paraId="5017E148" w14:textId="77777777" w:rsidTr="00B5397D">
        <w:tc>
          <w:tcPr>
            <w:tcW w:w="9016" w:type="dxa"/>
            <w:gridSpan w:val="4"/>
            <w:shd w:val="clear" w:color="auto" w:fill="00B0F0"/>
          </w:tcPr>
          <w:p w14:paraId="5017E147" w14:textId="77777777" w:rsidR="00EA16CA" w:rsidRPr="00EA16CA" w:rsidRDefault="00C94851" w:rsidP="00EA16CA">
            <w:pPr>
              <w:jc w:val="center"/>
              <w:rPr>
                <w:b/>
                <w:sz w:val="28"/>
                <w:szCs w:val="28"/>
              </w:rPr>
            </w:pPr>
            <w:r>
              <w:rPr>
                <w:b/>
                <w:color w:val="FFFFFF" w:themeColor="background1"/>
                <w:sz w:val="28"/>
                <w:szCs w:val="28"/>
              </w:rPr>
              <w:t xml:space="preserve">Delivering </w:t>
            </w:r>
            <w:r w:rsidR="00EA16CA" w:rsidRPr="00EA16CA">
              <w:rPr>
                <w:b/>
                <w:color w:val="FFFFFF" w:themeColor="background1"/>
                <w:sz w:val="28"/>
                <w:szCs w:val="28"/>
              </w:rPr>
              <w:t>Maintenance Service</w:t>
            </w:r>
          </w:p>
        </w:tc>
      </w:tr>
      <w:tr w:rsidR="00EA16CA" w14:paraId="5017E14D" w14:textId="77777777" w:rsidTr="00B5397D">
        <w:tc>
          <w:tcPr>
            <w:tcW w:w="4757" w:type="dxa"/>
            <w:shd w:val="clear" w:color="auto" w:fill="A3DEF4" w:themeFill="accent2" w:themeFillTint="66"/>
          </w:tcPr>
          <w:p w14:paraId="5017E149" w14:textId="77777777" w:rsidR="00EA16CA" w:rsidRPr="00EC03EA" w:rsidRDefault="00EA16CA" w:rsidP="00EA16CA">
            <w:pPr>
              <w:rPr>
                <w:b/>
                <w:sz w:val="20"/>
                <w:szCs w:val="20"/>
              </w:rPr>
            </w:pPr>
            <w:r w:rsidRPr="00EC03EA">
              <w:rPr>
                <w:b/>
                <w:sz w:val="20"/>
                <w:szCs w:val="20"/>
              </w:rPr>
              <w:t>Indicator</w:t>
            </w:r>
          </w:p>
        </w:tc>
        <w:tc>
          <w:tcPr>
            <w:tcW w:w="1121" w:type="dxa"/>
            <w:shd w:val="clear" w:color="auto" w:fill="A3DEF4" w:themeFill="accent2" w:themeFillTint="66"/>
          </w:tcPr>
          <w:p w14:paraId="5017E14A" w14:textId="77777777" w:rsidR="00EA16CA" w:rsidRPr="00EC03EA" w:rsidRDefault="00EA16CA" w:rsidP="00EA16CA">
            <w:pPr>
              <w:jc w:val="center"/>
              <w:rPr>
                <w:b/>
                <w:sz w:val="20"/>
                <w:szCs w:val="20"/>
              </w:rPr>
            </w:pPr>
            <w:r w:rsidRPr="00EC03EA">
              <w:rPr>
                <w:b/>
                <w:sz w:val="20"/>
                <w:szCs w:val="20"/>
              </w:rPr>
              <w:t>Target</w:t>
            </w:r>
          </w:p>
        </w:tc>
        <w:tc>
          <w:tcPr>
            <w:tcW w:w="1828" w:type="dxa"/>
            <w:shd w:val="clear" w:color="auto" w:fill="A3DEF4" w:themeFill="accent2" w:themeFillTint="66"/>
          </w:tcPr>
          <w:p w14:paraId="5017E14B" w14:textId="77777777" w:rsidR="00EA16CA" w:rsidRPr="00EC03EA" w:rsidRDefault="00EA16CA" w:rsidP="00EA16CA">
            <w:pPr>
              <w:jc w:val="center"/>
              <w:rPr>
                <w:b/>
                <w:sz w:val="20"/>
                <w:szCs w:val="20"/>
              </w:rPr>
            </w:pPr>
            <w:r w:rsidRPr="00EC03EA">
              <w:rPr>
                <w:b/>
                <w:sz w:val="20"/>
                <w:szCs w:val="20"/>
              </w:rPr>
              <w:t>Performance</w:t>
            </w:r>
          </w:p>
        </w:tc>
        <w:tc>
          <w:tcPr>
            <w:tcW w:w="1310" w:type="dxa"/>
            <w:shd w:val="clear" w:color="auto" w:fill="A3DEF4" w:themeFill="accent2" w:themeFillTint="66"/>
          </w:tcPr>
          <w:p w14:paraId="5017E14C" w14:textId="77777777" w:rsidR="00EA16CA" w:rsidRPr="00EC03EA" w:rsidRDefault="00EA16CA" w:rsidP="00EA16CA">
            <w:pPr>
              <w:jc w:val="center"/>
              <w:rPr>
                <w:b/>
                <w:sz w:val="20"/>
                <w:szCs w:val="20"/>
              </w:rPr>
            </w:pPr>
            <w:r w:rsidRPr="00EC03EA">
              <w:rPr>
                <w:b/>
                <w:sz w:val="20"/>
                <w:szCs w:val="20"/>
              </w:rPr>
              <w:t>How are we doing</w:t>
            </w:r>
          </w:p>
        </w:tc>
      </w:tr>
      <w:tr w:rsidR="00454E09" w14:paraId="5017E15C" w14:textId="77777777" w:rsidTr="00BE0199">
        <w:trPr>
          <w:trHeight w:val="481"/>
        </w:trPr>
        <w:tc>
          <w:tcPr>
            <w:tcW w:w="4757" w:type="dxa"/>
          </w:tcPr>
          <w:p w14:paraId="5017E158" w14:textId="77777777" w:rsidR="00454E09" w:rsidRPr="00EC03EA" w:rsidRDefault="00454E09" w:rsidP="00EA16CA">
            <w:pPr>
              <w:rPr>
                <w:sz w:val="20"/>
                <w:szCs w:val="20"/>
              </w:rPr>
            </w:pPr>
            <w:r w:rsidRPr="00EC03EA">
              <w:rPr>
                <w:sz w:val="20"/>
                <w:szCs w:val="20"/>
              </w:rPr>
              <w:t>% of homes with a valid gas safety certificate</w:t>
            </w:r>
          </w:p>
        </w:tc>
        <w:tc>
          <w:tcPr>
            <w:tcW w:w="1121" w:type="dxa"/>
          </w:tcPr>
          <w:p w14:paraId="5017E159" w14:textId="77777777" w:rsidR="00454E09" w:rsidRPr="00EC03EA" w:rsidRDefault="00454E09" w:rsidP="00EA16CA">
            <w:pPr>
              <w:jc w:val="center"/>
              <w:rPr>
                <w:sz w:val="20"/>
                <w:szCs w:val="20"/>
              </w:rPr>
            </w:pPr>
            <w:r w:rsidRPr="00EC03EA">
              <w:rPr>
                <w:sz w:val="20"/>
                <w:szCs w:val="20"/>
              </w:rPr>
              <w:t>100%</w:t>
            </w:r>
          </w:p>
        </w:tc>
        <w:tc>
          <w:tcPr>
            <w:tcW w:w="1828" w:type="dxa"/>
          </w:tcPr>
          <w:p w14:paraId="5017E15A" w14:textId="0724354D" w:rsidR="00454E09" w:rsidRPr="00EC03EA" w:rsidRDefault="008A2398" w:rsidP="00EA16CA">
            <w:pPr>
              <w:jc w:val="center"/>
              <w:rPr>
                <w:sz w:val="20"/>
                <w:szCs w:val="20"/>
              </w:rPr>
            </w:pPr>
            <w:r>
              <w:rPr>
                <w:sz w:val="20"/>
                <w:szCs w:val="20"/>
              </w:rPr>
              <w:t>100%</w:t>
            </w:r>
          </w:p>
        </w:tc>
        <w:tc>
          <w:tcPr>
            <w:tcW w:w="1310" w:type="dxa"/>
          </w:tcPr>
          <w:p w14:paraId="5017E15B" w14:textId="3D0EFE2B" w:rsidR="00454E09" w:rsidRPr="00EC03EA" w:rsidRDefault="008A2398" w:rsidP="00EA16CA">
            <w:pPr>
              <w:jc w:val="center"/>
              <w:rPr>
                <w:sz w:val="20"/>
                <w:szCs w:val="20"/>
              </w:rPr>
            </w:pPr>
            <w:r w:rsidRPr="008C510E">
              <w:rPr>
                <w:rFonts w:ascii="Montserrat" w:hAnsi="Montserrat"/>
                <w:noProof/>
                <w:sz w:val="20"/>
                <w:szCs w:val="20"/>
                <w:lang w:eastAsia="en-GB"/>
              </w:rPr>
              <w:drawing>
                <wp:inline distT="0" distB="0" distL="0" distR="0" wp14:anchorId="03399A75" wp14:editId="53E71E05">
                  <wp:extent cx="28575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8A2398" w14:paraId="5CF70C34" w14:textId="77777777" w:rsidTr="00BE0199">
        <w:trPr>
          <w:trHeight w:val="481"/>
        </w:trPr>
        <w:tc>
          <w:tcPr>
            <w:tcW w:w="4757" w:type="dxa"/>
          </w:tcPr>
          <w:p w14:paraId="2EDBDDB9" w14:textId="40C114D1" w:rsidR="008A2398" w:rsidRPr="00EC03EA" w:rsidRDefault="008B5295" w:rsidP="00EA16CA">
            <w:pPr>
              <w:rPr>
                <w:sz w:val="20"/>
                <w:szCs w:val="20"/>
              </w:rPr>
            </w:pPr>
            <w:r w:rsidRPr="008B5295">
              <w:rPr>
                <w:sz w:val="20"/>
                <w:szCs w:val="20"/>
              </w:rPr>
              <w:t>% Tenant satisfaction</w:t>
            </w:r>
            <w:r w:rsidRPr="008B5295">
              <w:rPr>
                <w:sz w:val="20"/>
                <w:szCs w:val="20"/>
              </w:rPr>
              <w:tab/>
            </w:r>
            <w:r>
              <w:rPr>
                <w:sz w:val="20"/>
                <w:szCs w:val="20"/>
              </w:rPr>
              <w:t>with repair</w:t>
            </w:r>
          </w:p>
        </w:tc>
        <w:tc>
          <w:tcPr>
            <w:tcW w:w="1121" w:type="dxa"/>
          </w:tcPr>
          <w:p w14:paraId="43D5C019" w14:textId="224D1BA7" w:rsidR="008A2398" w:rsidRPr="00EC03EA" w:rsidRDefault="008B5295" w:rsidP="00EA16CA">
            <w:pPr>
              <w:jc w:val="center"/>
              <w:rPr>
                <w:sz w:val="20"/>
                <w:szCs w:val="20"/>
              </w:rPr>
            </w:pPr>
            <w:r>
              <w:rPr>
                <w:sz w:val="20"/>
                <w:szCs w:val="20"/>
              </w:rPr>
              <w:t>92%</w:t>
            </w:r>
          </w:p>
        </w:tc>
        <w:tc>
          <w:tcPr>
            <w:tcW w:w="1828" w:type="dxa"/>
          </w:tcPr>
          <w:p w14:paraId="7A375A44" w14:textId="6CBDC449" w:rsidR="008A2398" w:rsidRDefault="000D7587" w:rsidP="00EA16CA">
            <w:pPr>
              <w:jc w:val="center"/>
              <w:rPr>
                <w:sz w:val="20"/>
                <w:szCs w:val="20"/>
              </w:rPr>
            </w:pPr>
            <w:r>
              <w:rPr>
                <w:sz w:val="20"/>
                <w:szCs w:val="20"/>
              </w:rPr>
              <w:t>88.1%</w:t>
            </w:r>
          </w:p>
        </w:tc>
        <w:tc>
          <w:tcPr>
            <w:tcW w:w="1310" w:type="dxa"/>
          </w:tcPr>
          <w:p w14:paraId="388EE514" w14:textId="33C18CCE" w:rsidR="008A2398" w:rsidRPr="008C510E" w:rsidRDefault="008B5295" w:rsidP="00EA16CA">
            <w:pPr>
              <w:jc w:val="center"/>
              <w:rPr>
                <w:rFonts w:ascii="Montserrat" w:hAnsi="Montserrat"/>
                <w:noProof/>
                <w:sz w:val="20"/>
                <w:szCs w:val="20"/>
                <w:lang w:eastAsia="en-GB"/>
              </w:rPr>
            </w:pPr>
            <w:r w:rsidRPr="00EC03EA">
              <w:rPr>
                <w:rFonts w:ascii="Montserrat" w:hAnsi="Montserrat"/>
                <w:b/>
                <w:noProof/>
                <w:sz w:val="20"/>
                <w:szCs w:val="20"/>
                <w:lang w:eastAsia="en-GB"/>
              </w:rPr>
              <w:drawing>
                <wp:inline distT="0" distB="0" distL="0" distR="0" wp14:anchorId="23439979" wp14:editId="73637A3D">
                  <wp:extent cx="321468" cy="2571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8A2398" w14:paraId="2810B378" w14:textId="77777777" w:rsidTr="008D3684">
        <w:trPr>
          <w:trHeight w:val="2748"/>
        </w:trPr>
        <w:tc>
          <w:tcPr>
            <w:tcW w:w="9016" w:type="dxa"/>
            <w:gridSpan w:val="4"/>
          </w:tcPr>
          <w:p w14:paraId="63C90817" w14:textId="77777777" w:rsidR="008A2398" w:rsidRPr="000D7587" w:rsidRDefault="000D7587" w:rsidP="000D7587">
            <w:pPr>
              <w:rPr>
                <w:rFonts w:ascii="Montserrat" w:hAnsi="Montserrat"/>
                <w:b/>
                <w:bCs/>
                <w:noProof/>
                <w:sz w:val="20"/>
                <w:szCs w:val="20"/>
                <w:lang w:eastAsia="en-GB"/>
              </w:rPr>
            </w:pPr>
            <w:r w:rsidRPr="000D7587">
              <w:rPr>
                <w:rFonts w:ascii="Montserrat" w:hAnsi="Montserrat"/>
                <w:b/>
                <w:bCs/>
                <w:noProof/>
                <w:sz w:val="20"/>
                <w:szCs w:val="20"/>
                <w:lang w:eastAsia="en-GB"/>
              </w:rPr>
              <w:t>% Tenant satisfaction with repair</w:t>
            </w:r>
          </w:p>
          <w:p w14:paraId="1EBBBB42" w14:textId="77777777" w:rsidR="008D3684" w:rsidRPr="008D3684" w:rsidRDefault="008D3684" w:rsidP="008D3684">
            <w:pPr>
              <w:rPr>
                <w:rFonts w:ascii="Montserrat" w:hAnsi="Montserrat"/>
                <w:bCs/>
                <w:sz w:val="20"/>
                <w:szCs w:val="20"/>
              </w:rPr>
            </w:pPr>
            <w:r w:rsidRPr="008D3684">
              <w:rPr>
                <w:rFonts w:ascii="Montserrat" w:hAnsi="Montserrat"/>
                <w:bCs/>
                <w:sz w:val="20"/>
                <w:szCs w:val="20"/>
              </w:rPr>
              <w:t xml:space="preserve">89 of the 101 customers surveyed were satisfied with their most recent repair. </w:t>
            </w:r>
          </w:p>
          <w:p w14:paraId="230B94FE" w14:textId="77777777" w:rsidR="008D3684" w:rsidRPr="008D3684" w:rsidRDefault="008D3684" w:rsidP="008D3684">
            <w:pPr>
              <w:rPr>
                <w:rFonts w:ascii="Montserrat" w:hAnsi="Montserrat"/>
                <w:bCs/>
                <w:sz w:val="20"/>
                <w:szCs w:val="20"/>
              </w:rPr>
            </w:pPr>
          </w:p>
          <w:p w14:paraId="0E5F88BA" w14:textId="77777777" w:rsidR="008D3684" w:rsidRPr="008D3684" w:rsidRDefault="008D3684" w:rsidP="008D3684">
            <w:pPr>
              <w:rPr>
                <w:rFonts w:ascii="Montserrat" w:hAnsi="Montserrat"/>
                <w:bCs/>
                <w:sz w:val="20"/>
                <w:szCs w:val="20"/>
              </w:rPr>
            </w:pPr>
            <w:r w:rsidRPr="008D3684">
              <w:rPr>
                <w:rFonts w:ascii="Montserrat" w:hAnsi="Montserrat"/>
                <w:bCs/>
                <w:sz w:val="20"/>
                <w:szCs w:val="20"/>
              </w:rPr>
              <w:t xml:space="preserve">All 12 customers who were unhappy were called within 24hrs of the repair being completed. These calls clarified the reason for dissatisfaction and agreed actions to addresses any outstanding issues. The most common reason for dissatisfaction was that the repair was not fully complete. </w:t>
            </w:r>
          </w:p>
          <w:p w14:paraId="020D00BF" w14:textId="77777777" w:rsidR="008D3684" w:rsidRPr="008D3684" w:rsidRDefault="008D3684" w:rsidP="008D3684">
            <w:pPr>
              <w:rPr>
                <w:rFonts w:ascii="Montserrat" w:hAnsi="Montserrat"/>
                <w:bCs/>
                <w:sz w:val="20"/>
                <w:szCs w:val="20"/>
              </w:rPr>
            </w:pPr>
          </w:p>
          <w:p w14:paraId="250ABD66" w14:textId="3345F094" w:rsidR="000D7587" w:rsidRPr="008C510E" w:rsidRDefault="008D3684" w:rsidP="000D7587">
            <w:pPr>
              <w:rPr>
                <w:rFonts w:ascii="Montserrat" w:hAnsi="Montserrat"/>
                <w:noProof/>
                <w:sz w:val="20"/>
                <w:szCs w:val="20"/>
                <w:lang w:eastAsia="en-GB"/>
              </w:rPr>
            </w:pPr>
            <w:r w:rsidRPr="008D3684">
              <w:rPr>
                <w:rFonts w:ascii="Montserrat" w:hAnsi="Montserrat"/>
                <w:bCs/>
                <w:sz w:val="20"/>
                <w:szCs w:val="20"/>
              </w:rPr>
              <w:t xml:space="preserve">Return visits have been raised for all 12 repairs and the service provided on each occasion will be reviewed as part of our regular meetings with </w:t>
            </w:r>
            <w:proofErr w:type="spellStart"/>
            <w:r w:rsidRPr="008D3684">
              <w:rPr>
                <w:rFonts w:ascii="Montserrat" w:hAnsi="Montserrat"/>
                <w:bCs/>
                <w:sz w:val="20"/>
                <w:szCs w:val="20"/>
              </w:rPr>
              <w:t>Esh</w:t>
            </w:r>
            <w:proofErr w:type="spellEnd"/>
            <w:r w:rsidRPr="008D3684">
              <w:rPr>
                <w:rFonts w:ascii="Montserrat" w:hAnsi="Montserrat"/>
                <w:bCs/>
                <w:sz w:val="20"/>
                <w:szCs w:val="20"/>
              </w:rPr>
              <w:t xml:space="preserve"> Facilities and 0800 to ensure we continually improve the repairs experience for our customers.</w:t>
            </w:r>
          </w:p>
        </w:tc>
      </w:tr>
    </w:tbl>
    <w:p w14:paraId="5017E168" w14:textId="77777777" w:rsidR="00C94851" w:rsidRDefault="00C94851"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6A" w14:textId="77777777" w:rsidTr="00BB7573">
        <w:tc>
          <w:tcPr>
            <w:tcW w:w="9242" w:type="dxa"/>
            <w:gridSpan w:val="4"/>
            <w:shd w:val="clear" w:color="auto" w:fill="00B0F0"/>
          </w:tcPr>
          <w:p w14:paraId="5017E169" w14:textId="77777777" w:rsidR="00C94851" w:rsidRPr="00EA16CA" w:rsidRDefault="00C94851" w:rsidP="00C94851">
            <w:pPr>
              <w:jc w:val="center"/>
              <w:rPr>
                <w:b/>
                <w:sz w:val="28"/>
                <w:szCs w:val="28"/>
              </w:rPr>
            </w:pPr>
            <w:r>
              <w:rPr>
                <w:b/>
                <w:color w:val="FFFFFF" w:themeColor="background1"/>
                <w:sz w:val="28"/>
                <w:szCs w:val="28"/>
              </w:rPr>
              <w:t>Managing Empty Homes</w:t>
            </w:r>
          </w:p>
        </w:tc>
      </w:tr>
      <w:tr w:rsidR="00C94851" w:rsidRPr="00EA16CA" w14:paraId="5017E16F" w14:textId="77777777" w:rsidTr="00A97C99">
        <w:trPr>
          <w:trHeight w:val="650"/>
        </w:trPr>
        <w:tc>
          <w:tcPr>
            <w:tcW w:w="4928" w:type="dxa"/>
            <w:shd w:val="clear" w:color="auto" w:fill="A3DEF4" w:themeFill="accent2" w:themeFillTint="66"/>
          </w:tcPr>
          <w:p w14:paraId="5017E16B" w14:textId="77777777" w:rsidR="00C94851" w:rsidRPr="00EA16CA" w:rsidRDefault="00C94851" w:rsidP="00BB7573">
            <w:pPr>
              <w:rPr>
                <w:b/>
              </w:rPr>
            </w:pPr>
            <w:r w:rsidRPr="00EA16CA">
              <w:rPr>
                <w:b/>
              </w:rPr>
              <w:t>Indicator</w:t>
            </w:r>
          </w:p>
        </w:tc>
        <w:tc>
          <w:tcPr>
            <w:tcW w:w="1134" w:type="dxa"/>
            <w:shd w:val="clear" w:color="auto" w:fill="A3DEF4" w:themeFill="accent2" w:themeFillTint="66"/>
          </w:tcPr>
          <w:p w14:paraId="5017E16C" w14:textId="77777777" w:rsidR="00C94851" w:rsidRPr="00EA16CA" w:rsidRDefault="00C94851" w:rsidP="00BB7573">
            <w:pPr>
              <w:jc w:val="center"/>
              <w:rPr>
                <w:b/>
              </w:rPr>
            </w:pPr>
            <w:r w:rsidRPr="00EA16CA">
              <w:rPr>
                <w:b/>
              </w:rPr>
              <w:t>Target</w:t>
            </w:r>
          </w:p>
        </w:tc>
        <w:tc>
          <w:tcPr>
            <w:tcW w:w="1843" w:type="dxa"/>
            <w:shd w:val="clear" w:color="auto" w:fill="A3DEF4" w:themeFill="accent2" w:themeFillTint="66"/>
          </w:tcPr>
          <w:p w14:paraId="5017E16D" w14:textId="77777777" w:rsidR="00C94851" w:rsidRPr="00EA16CA" w:rsidRDefault="00C94851" w:rsidP="00BB7573">
            <w:pPr>
              <w:jc w:val="center"/>
              <w:rPr>
                <w:b/>
              </w:rPr>
            </w:pPr>
            <w:r w:rsidRPr="00EA16CA">
              <w:rPr>
                <w:b/>
              </w:rPr>
              <w:t>Performance</w:t>
            </w:r>
          </w:p>
        </w:tc>
        <w:tc>
          <w:tcPr>
            <w:tcW w:w="1337" w:type="dxa"/>
            <w:shd w:val="clear" w:color="auto" w:fill="A3DEF4" w:themeFill="accent2" w:themeFillTint="66"/>
          </w:tcPr>
          <w:p w14:paraId="5017E16E" w14:textId="77777777" w:rsidR="00C94851" w:rsidRPr="00EA16CA" w:rsidRDefault="00C94851" w:rsidP="00BB7573">
            <w:pPr>
              <w:jc w:val="center"/>
              <w:rPr>
                <w:b/>
              </w:rPr>
            </w:pPr>
            <w:r w:rsidRPr="00EA16CA">
              <w:rPr>
                <w:b/>
              </w:rPr>
              <w:t>How are we doing</w:t>
            </w:r>
          </w:p>
        </w:tc>
      </w:tr>
      <w:tr w:rsidR="00C94851" w:rsidRPr="00EA16CA" w14:paraId="5017E174" w14:textId="77777777" w:rsidTr="004E0AB7">
        <w:trPr>
          <w:trHeight w:val="451"/>
        </w:trPr>
        <w:tc>
          <w:tcPr>
            <w:tcW w:w="4928" w:type="dxa"/>
          </w:tcPr>
          <w:p w14:paraId="5017E170" w14:textId="77777777" w:rsidR="00C94851" w:rsidRPr="008C510E" w:rsidRDefault="00C94851" w:rsidP="00C94851">
            <w:pPr>
              <w:rPr>
                <w:sz w:val="20"/>
                <w:szCs w:val="20"/>
              </w:rPr>
            </w:pPr>
            <w:r w:rsidRPr="008C510E">
              <w:rPr>
                <w:sz w:val="20"/>
                <w:szCs w:val="20"/>
              </w:rPr>
              <w:t xml:space="preserve">% of £ lost due to empty homes </w:t>
            </w:r>
          </w:p>
        </w:tc>
        <w:tc>
          <w:tcPr>
            <w:tcW w:w="1134" w:type="dxa"/>
          </w:tcPr>
          <w:p w14:paraId="5017E171" w14:textId="769AD72C" w:rsidR="00C94851" w:rsidRPr="008C510E" w:rsidRDefault="00C94851" w:rsidP="00C94851">
            <w:pPr>
              <w:jc w:val="center"/>
              <w:rPr>
                <w:sz w:val="20"/>
                <w:szCs w:val="20"/>
              </w:rPr>
            </w:pPr>
            <w:r w:rsidRPr="008C510E">
              <w:rPr>
                <w:sz w:val="20"/>
                <w:szCs w:val="20"/>
              </w:rPr>
              <w:t>1.</w:t>
            </w:r>
            <w:r w:rsidR="00740B5C">
              <w:rPr>
                <w:sz w:val="20"/>
                <w:szCs w:val="20"/>
              </w:rPr>
              <w:t>0</w:t>
            </w:r>
            <w:r w:rsidR="00385E5C">
              <w:rPr>
                <w:sz w:val="20"/>
                <w:szCs w:val="20"/>
              </w:rPr>
              <w:t>0</w:t>
            </w:r>
            <w:r w:rsidRPr="008C510E">
              <w:rPr>
                <w:sz w:val="20"/>
                <w:szCs w:val="20"/>
              </w:rPr>
              <w:t>%</w:t>
            </w:r>
          </w:p>
        </w:tc>
        <w:tc>
          <w:tcPr>
            <w:tcW w:w="1843" w:type="dxa"/>
          </w:tcPr>
          <w:p w14:paraId="5017E172" w14:textId="7D3579AF" w:rsidR="00C94851" w:rsidRPr="008C510E" w:rsidRDefault="00011635" w:rsidP="00C94851">
            <w:pPr>
              <w:jc w:val="center"/>
              <w:rPr>
                <w:sz w:val="20"/>
                <w:szCs w:val="20"/>
              </w:rPr>
            </w:pPr>
            <w:r>
              <w:rPr>
                <w:sz w:val="20"/>
                <w:szCs w:val="20"/>
              </w:rPr>
              <w:t>0.96%</w:t>
            </w:r>
          </w:p>
        </w:tc>
        <w:tc>
          <w:tcPr>
            <w:tcW w:w="1337" w:type="dxa"/>
          </w:tcPr>
          <w:p w14:paraId="5017E173" w14:textId="77777777" w:rsidR="00C94851" w:rsidRPr="008C510E" w:rsidRDefault="00B7613C" w:rsidP="00BB7573">
            <w:pPr>
              <w:jc w:val="center"/>
              <w:rPr>
                <w:sz w:val="20"/>
                <w:szCs w:val="20"/>
              </w:rPr>
            </w:pPr>
            <w:r w:rsidRPr="008C510E">
              <w:rPr>
                <w:rFonts w:ascii="Montserrat" w:hAnsi="Montserrat"/>
                <w:noProof/>
                <w:sz w:val="20"/>
                <w:szCs w:val="20"/>
                <w:lang w:eastAsia="en-GB"/>
              </w:rPr>
              <w:drawing>
                <wp:inline distT="0" distB="0" distL="0" distR="0" wp14:anchorId="5017E1A6" wp14:editId="5017E1A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r w:rsidR="00C94851" w:rsidRPr="00EA16CA" w14:paraId="5017E179" w14:textId="77777777" w:rsidTr="00456E91">
        <w:trPr>
          <w:trHeight w:val="506"/>
        </w:trPr>
        <w:tc>
          <w:tcPr>
            <w:tcW w:w="4928" w:type="dxa"/>
          </w:tcPr>
          <w:p w14:paraId="5017E175" w14:textId="77777777" w:rsidR="00C94851" w:rsidRPr="008C510E" w:rsidRDefault="00C94851" w:rsidP="00BB7573">
            <w:pPr>
              <w:rPr>
                <w:sz w:val="20"/>
                <w:szCs w:val="20"/>
              </w:rPr>
            </w:pPr>
            <w:r w:rsidRPr="008C510E">
              <w:rPr>
                <w:sz w:val="20"/>
                <w:szCs w:val="20"/>
              </w:rPr>
              <w:t>Average time to let a property</w:t>
            </w:r>
          </w:p>
        </w:tc>
        <w:tc>
          <w:tcPr>
            <w:tcW w:w="1134" w:type="dxa"/>
          </w:tcPr>
          <w:p w14:paraId="5017E176" w14:textId="48898D22" w:rsidR="00C94851" w:rsidRPr="008C510E" w:rsidRDefault="00881852" w:rsidP="00BB7573">
            <w:pPr>
              <w:jc w:val="center"/>
              <w:rPr>
                <w:sz w:val="20"/>
                <w:szCs w:val="20"/>
              </w:rPr>
            </w:pPr>
            <w:r>
              <w:rPr>
                <w:sz w:val="20"/>
                <w:szCs w:val="20"/>
              </w:rPr>
              <w:t>2</w:t>
            </w:r>
            <w:r w:rsidR="00740B5C">
              <w:rPr>
                <w:sz w:val="20"/>
                <w:szCs w:val="20"/>
              </w:rPr>
              <w:t>3</w:t>
            </w:r>
            <w:r w:rsidR="00C94851" w:rsidRPr="008C510E">
              <w:rPr>
                <w:sz w:val="20"/>
                <w:szCs w:val="20"/>
              </w:rPr>
              <w:t xml:space="preserve"> days</w:t>
            </w:r>
          </w:p>
        </w:tc>
        <w:tc>
          <w:tcPr>
            <w:tcW w:w="1843" w:type="dxa"/>
          </w:tcPr>
          <w:p w14:paraId="5017E177" w14:textId="3C349473" w:rsidR="00C94851" w:rsidRPr="008C510E" w:rsidRDefault="00D6402B" w:rsidP="00BB7573">
            <w:pPr>
              <w:jc w:val="center"/>
              <w:rPr>
                <w:sz w:val="20"/>
                <w:szCs w:val="20"/>
              </w:rPr>
            </w:pPr>
            <w:r>
              <w:rPr>
                <w:sz w:val="20"/>
                <w:szCs w:val="20"/>
              </w:rPr>
              <w:t>19 days</w:t>
            </w:r>
          </w:p>
        </w:tc>
        <w:tc>
          <w:tcPr>
            <w:tcW w:w="1337" w:type="dxa"/>
          </w:tcPr>
          <w:p w14:paraId="5017E178" w14:textId="77777777" w:rsidR="00C94851" w:rsidRPr="008C510E" w:rsidRDefault="0084551C" w:rsidP="00456E91">
            <w:pPr>
              <w:jc w:val="center"/>
              <w:rPr>
                <w:sz w:val="20"/>
                <w:szCs w:val="20"/>
              </w:rPr>
            </w:pPr>
            <w:r w:rsidRPr="008C510E">
              <w:rPr>
                <w:rFonts w:ascii="Montserrat" w:hAnsi="Montserrat"/>
                <w:noProof/>
                <w:sz w:val="20"/>
                <w:szCs w:val="20"/>
                <w:lang w:eastAsia="en-GB"/>
              </w:rPr>
              <w:drawing>
                <wp:inline distT="0" distB="0" distL="0" distR="0" wp14:anchorId="5017E1A8" wp14:editId="5017E1A9">
                  <wp:extent cx="2857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879" cy="298879"/>
                          </a:xfrm>
                          <a:prstGeom prst="rect">
                            <a:avLst/>
                          </a:prstGeom>
                          <a:noFill/>
                        </pic:spPr>
                      </pic:pic>
                    </a:graphicData>
                  </a:graphic>
                </wp:inline>
              </w:drawing>
            </w:r>
          </w:p>
        </w:tc>
      </w:tr>
    </w:tbl>
    <w:p w14:paraId="5017E17E" w14:textId="77777777" w:rsidR="00DC780D" w:rsidRDefault="00DC780D" w:rsidP="00C94851">
      <w:pPr>
        <w:rPr>
          <w:sz w:val="24"/>
          <w:szCs w:val="24"/>
        </w:rPr>
      </w:pPr>
    </w:p>
    <w:tbl>
      <w:tblPr>
        <w:tblStyle w:val="TableGrid"/>
        <w:tblW w:w="0" w:type="auto"/>
        <w:tblLook w:val="04A0" w:firstRow="1" w:lastRow="0" w:firstColumn="1" w:lastColumn="0" w:noHBand="0" w:noVBand="1"/>
      </w:tblPr>
      <w:tblGrid>
        <w:gridCol w:w="4743"/>
        <w:gridCol w:w="1125"/>
        <w:gridCol w:w="1835"/>
        <w:gridCol w:w="1313"/>
      </w:tblGrid>
      <w:tr w:rsidR="00C94851" w:rsidRPr="00EA16CA" w14:paraId="5017E180" w14:textId="77777777" w:rsidTr="00AF3265">
        <w:tc>
          <w:tcPr>
            <w:tcW w:w="9016" w:type="dxa"/>
            <w:gridSpan w:val="4"/>
            <w:shd w:val="clear" w:color="auto" w:fill="00B0F0"/>
          </w:tcPr>
          <w:p w14:paraId="5017E17F" w14:textId="77777777" w:rsidR="00C94851" w:rsidRPr="00EA16CA" w:rsidRDefault="00C94851" w:rsidP="00C94851">
            <w:pPr>
              <w:jc w:val="center"/>
              <w:rPr>
                <w:b/>
                <w:sz w:val="28"/>
                <w:szCs w:val="28"/>
              </w:rPr>
            </w:pPr>
            <w:r>
              <w:rPr>
                <w:b/>
                <w:color w:val="FFFFFF" w:themeColor="background1"/>
                <w:sz w:val="28"/>
                <w:szCs w:val="28"/>
              </w:rPr>
              <w:t>Managing Income</w:t>
            </w:r>
          </w:p>
        </w:tc>
      </w:tr>
      <w:tr w:rsidR="00C94851" w:rsidRPr="00EA16CA" w14:paraId="5017E185" w14:textId="77777777" w:rsidTr="00AF3265">
        <w:tc>
          <w:tcPr>
            <w:tcW w:w="4743" w:type="dxa"/>
            <w:shd w:val="clear" w:color="auto" w:fill="A3DEF4" w:themeFill="accent2" w:themeFillTint="66"/>
          </w:tcPr>
          <w:p w14:paraId="5017E181" w14:textId="77777777" w:rsidR="00C94851" w:rsidRPr="00EA16CA" w:rsidRDefault="00C94851" w:rsidP="00BB7573">
            <w:pPr>
              <w:rPr>
                <w:b/>
              </w:rPr>
            </w:pPr>
            <w:r w:rsidRPr="00EA16CA">
              <w:rPr>
                <w:b/>
              </w:rPr>
              <w:t>Indicator</w:t>
            </w:r>
          </w:p>
        </w:tc>
        <w:tc>
          <w:tcPr>
            <w:tcW w:w="1125" w:type="dxa"/>
            <w:shd w:val="clear" w:color="auto" w:fill="A3DEF4" w:themeFill="accent2" w:themeFillTint="66"/>
          </w:tcPr>
          <w:p w14:paraId="5017E182" w14:textId="77777777" w:rsidR="00C94851" w:rsidRPr="00EA16CA" w:rsidRDefault="00C94851" w:rsidP="00BB7573">
            <w:pPr>
              <w:jc w:val="center"/>
              <w:rPr>
                <w:b/>
              </w:rPr>
            </w:pPr>
            <w:r w:rsidRPr="00EA16CA">
              <w:rPr>
                <w:b/>
              </w:rPr>
              <w:t>Target</w:t>
            </w:r>
          </w:p>
        </w:tc>
        <w:tc>
          <w:tcPr>
            <w:tcW w:w="1835" w:type="dxa"/>
            <w:shd w:val="clear" w:color="auto" w:fill="A3DEF4" w:themeFill="accent2" w:themeFillTint="66"/>
          </w:tcPr>
          <w:p w14:paraId="5017E183" w14:textId="77777777" w:rsidR="00C94851" w:rsidRPr="00EA16CA" w:rsidRDefault="00C94851" w:rsidP="00BB7573">
            <w:pPr>
              <w:jc w:val="center"/>
              <w:rPr>
                <w:b/>
              </w:rPr>
            </w:pPr>
            <w:r w:rsidRPr="00EA16CA">
              <w:rPr>
                <w:b/>
              </w:rPr>
              <w:t>Performance</w:t>
            </w:r>
          </w:p>
        </w:tc>
        <w:tc>
          <w:tcPr>
            <w:tcW w:w="1313" w:type="dxa"/>
            <w:shd w:val="clear" w:color="auto" w:fill="A3DEF4" w:themeFill="accent2" w:themeFillTint="66"/>
          </w:tcPr>
          <w:p w14:paraId="5017E184" w14:textId="77777777" w:rsidR="00C94851" w:rsidRPr="00EA16CA" w:rsidRDefault="00C94851" w:rsidP="00BB7573">
            <w:pPr>
              <w:jc w:val="center"/>
              <w:rPr>
                <w:b/>
              </w:rPr>
            </w:pPr>
            <w:r w:rsidRPr="00EA16CA">
              <w:rPr>
                <w:b/>
              </w:rPr>
              <w:t>How are we doing</w:t>
            </w:r>
          </w:p>
        </w:tc>
      </w:tr>
      <w:tr w:rsidR="00C94851" w:rsidRPr="00EA16CA" w14:paraId="5017E18A" w14:textId="77777777" w:rsidTr="00AF3265">
        <w:trPr>
          <w:trHeight w:val="459"/>
        </w:trPr>
        <w:tc>
          <w:tcPr>
            <w:tcW w:w="4743" w:type="dxa"/>
          </w:tcPr>
          <w:p w14:paraId="7D3D6D26" w14:textId="032ABAF8" w:rsidR="00C94851" w:rsidRDefault="00C94851" w:rsidP="00C94851">
            <w:pPr>
              <w:rPr>
                <w:sz w:val="20"/>
                <w:szCs w:val="20"/>
              </w:rPr>
            </w:pPr>
            <w:r w:rsidRPr="008C510E">
              <w:rPr>
                <w:sz w:val="20"/>
                <w:szCs w:val="20"/>
              </w:rPr>
              <w:t xml:space="preserve">% of £ lost due to rent arrears </w:t>
            </w:r>
          </w:p>
          <w:p w14:paraId="5017E186" w14:textId="389140D1" w:rsidR="003611D3" w:rsidRPr="008C510E" w:rsidRDefault="003611D3" w:rsidP="00C94851">
            <w:pPr>
              <w:rPr>
                <w:sz w:val="20"/>
                <w:szCs w:val="20"/>
              </w:rPr>
            </w:pPr>
          </w:p>
        </w:tc>
        <w:tc>
          <w:tcPr>
            <w:tcW w:w="1125" w:type="dxa"/>
          </w:tcPr>
          <w:p w14:paraId="5017E187" w14:textId="6D68ACA5" w:rsidR="00C94851" w:rsidRPr="008C510E" w:rsidRDefault="00A3526D" w:rsidP="00C94851">
            <w:pPr>
              <w:jc w:val="center"/>
              <w:rPr>
                <w:sz w:val="20"/>
                <w:szCs w:val="20"/>
              </w:rPr>
            </w:pPr>
            <w:r>
              <w:rPr>
                <w:sz w:val="20"/>
                <w:szCs w:val="20"/>
              </w:rPr>
              <w:t>2</w:t>
            </w:r>
            <w:r w:rsidR="00CC5DF2">
              <w:rPr>
                <w:sz w:val="20"/>
                <w:szCs w:val="20"/>
              </w:rPr>
              <w:t>.</w:t>
            </w:r>
            <w:r w:rsidR="00DB01B4">
              <w:rPr>
                <w:sz w:val="20"/>
                <w:szCs w:val="20"/>
              </w:rPr>
              <w:t>30</w:t>
            </w:r>
            <w:r w:rsidR="00C94851" w:rsidRPr="008C510E">
              <w:rPr>
                <w:sz w:val="20"/>
                <w:szCs w:val="20"/>
              </w:rPr>
              <w:t>%</w:t>
            </w:r>
          </w:p>
        </w:tc>
        <w:tc>
          <w:tcPr>
            <w:tcW w:w="1835" w:type="dxa"/>
          </w:tcPr>
          <w:p w14:paraId="5017E188" w14:textId="1F072DFD" w:rsidR="00F64874" w:rsidRPr="008C510E" w:rsidRDefault="00D6402B" w:rsidP="00782F5F">
            <w:pPr>
              <w:jc w:val="center"/>
              <w:rPr>
                <w:sz w:val="20"/>
                <w:szCs w:val="20"/>
              </w:rPr>
            </w:pPr>
            <w:r>
              <w:rPr>
                <w:sz w:val="20"/>
                <w:szCs w:val="20"/>
              </w:rPr>
              <w:t>2.37%</w:t>
            </w:r>
          </w:p>
        </w:tc>
        <w:tc>
          <w:tcPr>
            <w:tcW w:w="1313" w:type="dxa"/>
          </w:tcPr>
          <w:p w14:paraId="5017E189" w14:textId="3A83342E" w:rsidR="00C94851" w:rsidRPr="008C510E" w:rsidRDefault="00D6402B" w:rsidP="00BB7573">
            <w:pPr>
              <w:jc w:val="center"/>
              <w:rPr>
                <w:sz w:val="20"/>
                <w:szCs w:val="20"/>
              </w:rPr>
            </w:pPr>
            <w:r w:rsidRPr="00EC03EA">
              <w:rPr>
                <w:rFonts w:ascii="Montserrat" w:hAnsi="Montserrat"/>
                <w:b/>
                <w:noProof/>
                <w:sz w:val="20"/>
                <w:szCs w:val="20"/>
                <w:lang w:eastAsia="en-GB"/>
              </w:rPr>
              <w:drawing>
                <wp:inline distT="0" distB="0" distL="0" distR="0" wp14:anchorId="5675A792" wp14:editId="7AAA643A">
                  <wp:extent cx="321468" cy="257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AF3265" w:rsidRPr="00EA16CA" w14:paraId="73143673" w14:textId="77777777" w:rsidTr="006910C5">
        <w:tc>
          <w:tcPr>
            <w:tcW w:w="9016" w:type="dxa"/>
            <w:gridSpan w:val="4"/>
          </w:tcPr>
          <w:p w14:paraId="10B52BF8" w14:textId="392E9D99" w:rsidR="00AF3265" w:rsidRDefault="00AF3265" w:rsidP="00AF3265">
            <w:pPr>
              <w:rPr>
                <w:rFonts w:ascii="Montserrat" w:hAnsi="Montserrat"/>
                <w:b/>
                <w:noProof/>
                <w:sz w:val="20"/>
                <w:szCs w:val="20"/>
                <w:lang w:eastAsia="en-GB"/>
              </w:rPr>
            </w:pPr>
            <w:r>
              <w:rPr>
                <w:rFonts w:ascii="Montserrat" w:hAnsi="Montserrat"/>
                <w:b/>
                <w:noProof/>
                <w:sz w:val="20"/>
                <w:szCs w:val="20"/>
                <w:lang w:eastAsia="en-GB"/>
              </w:rPr>
              <w:t>% of £’s lost due to rent arrears</w:t>
            </w:r>
          </w:p>
          <w:p w14:paraId="111BD056" w14:textId="4A55E5E5" w:rsidR="00AF3265" w:rsidRPr="00AF3265" w:rsidRDefault="00AF3265" w:rsidP="00AF3265">
            <w:pPr>
              <w:rPr>
                <w:sz w:val="20"/>
                <w:szCs w:val="20"/>
              </w:rPr>
            </w:pPr>
            <w:r w:rsidRPr="00AF3265">
              <w:rPr>
                <w:sz w:val="20"/>
                <w:szCs w:val="20"/>
              </w:rPr>
              <w:t>As a result of the pandemic, we are seeing more tenants move onto universal credit which is impacting our performance as this is paid monthly in arrears. We continue to support our tenants through our welfare benefit team and in partnership with others specialist agencies such as Citizens Advice Bureau.</w:t>
            </w:r>
          </w:p>
        </w:tc>
      </w:tr>
    </w:tbl>
    <w:p w14:paraId="5017E18B" w14:textId="1D2B2819" w:rsidR="000740E0" w:rsidRDefault="000740E0" w:rsidP="00C94851">
      <w:pPr>
        <w:rPr>
          <w:sz w:val="24"/>
          <w:szCs w:val="24"/>
        </w:rPr>
      </w:pPr>
    </w:p>
    <w:p w14:paraId="1BAE01C1" w14:textId="7D860534" w:rsidR="008D3684" w:rsidRDefault="008D3684" w:rsidP="00C94851">
      <w:pPr>
        <w:rPr>
          <w:sz w:val="24"/>
          <w:szCs w:val="24"/>
        </w:rPr>
      </w:pPr>
    </w:p>
    <w:p w14:paraId="19828FA8" w14:textId="77777777" w:rsidR="008D3684" w:rsidRDefault="008D3684" w:rsidP="00C94851">
      <w:pPr>
        <w:rPr>
          <w:sz w:val="24"/>
          <w:szCs w:val="24"/>
        </w:rPr>
      </w:pPr>
    </w:p>
    <w:tbl>
      <w:tblPr>
        <w:tblStyle w:val="TableGrid"/>
        <w:tblW w:w="0" w:type="auto"/>
        <w:tblLook w:val="04A0" w:firstRow="1" w:lastRow="0" w:firstColumn="1" w:lastColumn="0" w:noHBand="0" w:noVBand="1"/>
      </w:tblPr>
      <w:tblGrid>
        <w:gridCol w:w="4745"/>
        <w:gridCol w:w="1124"/>
        <w:gridCol w:w="1834"/>
        <w:gridCol w:w="1313"/>
      </w:tblGrid>
      <w:tr w:rsidR="00EC03EA" w:rsidRPr="00EA16CA" w14:paraId="5017E18D" w14:textId="77777777" w:rsidTr="00BE0199">
        <w:tc>
          <w:tcPr>
            <w:tcW w:w="9016" w:type="dxa"/>
            <w:gridSpan w:val="4"/>
            <w:shd w:val="clear" w:color="auto" w:fill="00B0F0"/>
          </w:tcPr>
          <w:p w14:paraId="5017E18C" w14:textId="77777777" w:rsidR="00EC03EA" w:rsidRPr="00EA16CA" w:rsidRDefault="00EC03EA" w:rsidP="00EC03EA">
            <w:pPr>
              <w:jc w:val="center"/>
              <w:rPr>
                <w:b/>
                <w:sz w:val="28"/>
                <w:szCs w:val="28"/>
              </w:rPr>
            </w:pPr>
            <w:r>
              <w:rPr>
                <w:b/>
                <w:color w:val="FFFFFF" w:themeColor="background1"/>
                <w:sz w:val="28"/>
                <w:szCs w:val="28"/>
              </w:rPr>
              <w:lastRenderedPageBreak/>
              <w:t xml:space="preserve">Delivering Customer Service </w:t>
            </w:r>
          </w:p>
        </w:tc>
      </w:tr>
      <w:tr w:rsidR="00EC03EA" w:rsidRPr="00EA16CA" w14:paraId="5017E192" w14:textId="77777777" w:rsidTr="00BE0199">
        <w:tc>
          <w:tcPr>
            <w:tcW w:w="4745" w:type="dxa"/>
            <w:shd w:val="clear" w:color="auto" w:fill="A3DEF4" w:themeFill="accent2" w:themeFillTint="66"/>
          </w:tcPr>
          <w:p w14:paraId="5017E18E" w14:textId="77777777" w:rsidR="00EC03EA" w:rsidRPr="00EA16CA" w:rsidRDefault="00EC03EA" w:rsidP="00BB7573">
            <w:pPr>
              <w:rPr>
                <w:b/>
              </w:rPr>
            </w:pPr>
            <w:r w:rsidRPr="00EA16CA">
              <w:rPr>
                <w:b/>
              </w:rPr>
              <w:t>Indicator</w:t>
            </w:r>
          </w:p>
        </w:tc>
        <w:tc>
          <w:tcPr>
            <w:tcW w:w="1124" w:type="dxa"/>
            <w:shd w:val="clear" w:color="auto" w:fill="A3DEF4" w:themeFill="accent2" w:themeFillTint="66"/>
          </w:tcPr>
          <w:p w14:paraId="5017E18F" w14:textId="77777777" w:rsidR="00EC03EA" w:rsidRPr="00EA16CA" w:rsidRDefault="00EC03EA" w:rsidP="00BB7573">
            <w:pPr>
              <w:jc w:val="center"/>
              <w:rPr>
                <w:b/>
              </w:rPr>
            </w:pPr>
            <w:r w:rsidRPr="00EA16CA">
              <w:rPr>
                <w:b/>
              </w:rPr>
              <w:t>Target</w:t>
            </w:r>
          </w:p>
        </w:tc>
        <w:tc>
          <w:tcPr>
            <w:tcW w:w="1834" w:type="dxa"/>
            <w:shd w:val="clear" w:color="auto" w:fill="A3DEF4" w:themeFill="accent2" w:themeFillTint="66"/>
          </w:tcPr>
          <w:p w14:paraId="5017E190" w14:textId="77777777" w:rsidR="00EC03EA" w:rsidRPr="00EA16CA" w:rsidRDefault="00EC03EA" w:rsidP="00BB7573">
            <w:pPr>
              <w:jc w:val="center"/>
              <w:rPr>
                <w:b/>
              </w:rPr>
            </w:pPr>
            <w:r w:rsidRPr="00EA16CA">
              <w:rPr>
                <w:b/>
              </w:rPr>
              <w:t>Performance</w:t>
            </w:r>
          </w:p>
        </w:tc>
        <w:tc>
          <w:tcPr>
            <w:tcW w:w="1313" w:type="dxa"/>
            <w:shd w:val="clear" w:color="auto" w:fill="A3DEF4" w:themeFill="accent2" w:themeFillTint="66"/>
          </w:tcPr>
          <w:p w14:paraId="5017E191" w14:textId="77777777" w:rsidR="00EC03EA" w:rsidRPr="00EA16CA" w:rsidRDefault="00EC03EA" w:rsidP="00BB7573">
            <w:pPr>
              <w:jc w:val="center"/>
              <w:rPr>
                <w:b/>
              </w:rPr>
            </w:pPr>
            <w:r w:rsidRPr="00EA16CA">
              <w:rPr>
                <w:b/>
              </w:rPr>
              <w:t>How are we doing</w:t>
            </w:r>
          </w:p>
        </w:tc>
      </w:tr>
      <w:tr w:rsidR="00EC03EA" w:rsidRPr="00EA16CA" w14:paraId="5017E197" w14:textId="77777777" w:rsidTr="00BE0199">
        <w:trPr>
          <w:trHeight w:val="555"/>
        </w:trPr>
        <w:tc>
          <w:tcPr>
            <w:tcW w:w="4745" w:type="dxa"/>
          </w:tcPr>
          <w:p w14:paraId="5017E193" w14:textId="77777777" w:rsidR="00EC03EA" w:rsidRPr="008C510E" w:rsidRDefault="00DE6CCB" w:rsidP="00EC03EA">
            <w:pPr>
              <w:rPr>
                <w:sz w:val="20"/>
                <w:szCs w:val="20"/>
              </w:rPr>
            </w:pPr>
            <w:r>
              <w:rPr>
                <w:sz w:val="20"/>
                <w:szCs w:val="20"/>
              </w:rPr>
              <w:t>% of calls</w:t>
            </w:r>
            <w:r w:rsidR="00EC03EA" w:rsidRPr="008C510E">
              <w:rPr>
                <w:sz w:val="20"/>
                <w:szCs w:val="20"/>
              </w:rPr>
              <w:t xml:space="preserve"> dealt with on first contact</w:t>
            </w:r>
          </w:p>
        </w:tc>
        <w:tc>
          <w:tcPr>
            <w:tcW w:w="1124" w:type="dxa"/>
          </w:tcPr>
          <w:p w14:paraId="5017E194" w14:textId="77777777" w:rsidR="00EC03EA" w:rsidRPr="008C510E" w:rsidRDefault="00881852" w:rsidP="00EC03EA">
            <w:pPr>
              <w:jc w:val="center"/>
              <w:rPr>
                <w:sz w:val="20"/>
                <w:szCs w:val="20"/>
              </w:rPr>
            </w:pPr>
            <w:r>
              <w:rPr>
                <w:sz w:val="20"/>
                <w:szCs w:val="20"/>
              </w:rPr>
              <w:t>9</w:t>
            </w:r>
            <w:r w:rsidR="00EC03EA" w:rsidRPr="008C510E">
              <w:rPr>
                <w:sz w:val="20"/>
                <w:szCs w:val="20"/>
              </w:rPr>
              <w:t>0%</w:t>
            </w:r>
          </w:p>
        </w:tc>
        <w:tc>
          <w:tcPr>
            <w:tcW w:w="1834" w:type="dxa"/>
          </w:tcPr>
          <w:p w14:paraId="5017E195" w14:textId="08D24699" w:rsidR="00EC03EA" w:rsidRPr="008C510E" w:rsidRDefault="006059F5" w:rsidP="00DB511E">
            <w:pPr>
              <w:jc w:val="center"/>
              <w:rPr>
                <w:sz w:val="20"/>
                <w:szCs w:val="20"/>
              </w:rPr>
            </w:pPr>
            <w:r>
              <w:rPr>
                <w:sz w:val="20"/>
                <w:szCs w:val="20"/>
              </w:rPr>
              <w:t>84%</w:t>
            </w:r>
          </w:p>
        </w:tc>
        <w:tc>
          <w:tcPr>
            <w:tcW w:w="1313" w:type="dxa"/>
          </w:tcPr>
          <w:p w14:paraId="5017E196" w14:textId="10FEA7DF" w:rsidR="00EC03EA" w:rsidRPr="008C510E" w:rsidRDefault="001A5D37" w:rsidP="00BB7573">
            <w:pPr>
              <w:jc w:val="center"/>
              <w:rPr>
                <w:sz w:val="20"/>
                <w:szCs w:val="20"/>
              </w:rPr>
            </w:pPr>
            <w:r w:rsidRPr="00EC03EA">
              <w:rPr>
                <w:rFonts w:ascii="Montserrat" w:hAnsi="Montserrat"/>
                <w:b/>
                <w:noProof/>
                <w:sz w:val="20"/>
                <w:szCs w:val="20"/>
                <w:lang w:eastAsia="en-GB"/>
              </w:rPr>
              <w:drawing>
                <wp:inline distT="0" distB="0" distL="0" distR="0" wp14:anchorId="147ACF43" wp14:editId="466DE820">
                  <wp:extent cx="321468" cy="25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02" cy="264082"/>
                          </a:xfrm>
                          <a:prstGeom prst="rect">
                            <a:avLst/>
                          </a:prstGeom>
                          <a:noFill/>
                        </pic:spPr>
                      </pic:pic>
                    </a:graphicData>
                  </a:graphic>
                </wp:inline>
              </w:drawing>
            </w:r>
          </w:p>
        </w:tc>
      </w:tr>
      <w:tr w:rsidR="003F25CA" w:rsidRPr="00EA16CA" w14:paraId="430D2A0B" w14:textId="77777777" w:rsidTr="00BE0199">
        <w:tc>
          <w:tcPr>
            <w:tcW w:w="9016" w:type="dxa"/>
            <w:gridSpan w:val="4"/>
          </w:tcPr>
          <w:p w14:paraId="0BFF10F5" w14:textId="5C6153C9" w:rsidR="003611D3" w:rsidRDefault="00B5397D" w:rsidP="003F25CA">
            <w:pPr>
              <w:rPr>
                <w:rFonts w:ascii="Montserrat" w:hAnsi="Montserrat"/>
                <w:b/>
                <w:noProof/>
                <w:sz w:val="20"/>
                <w:szCs w:val="20"/>
                <w:lang w:eastAsia="en-GB"/>
              </w:rPr>
            </w:pPr>
            <w:r>
              <w:rPr>
                <w:rFonts w:ascii="Montserrat" w:hAnsi="Montserrat"/>
                <w:b/>
                <w:noProof/>
                <w:sz w:val="20"/>
                <w:szCs w:val="20"/>
                <w:lang w:eastAsia="en-GB"/>
              </w:rPr>
              <w:t>Calls dealt with on first contact</w:t>
            </w:r>
          </w:p>
          <w:p w14:paraId="0B597D5B" w14:textId="77777777" w:rsidR="003611D3" w:rsidRDefault="003611D3" w:rsidP="003611D3">
            <w:pPr>
              <w:rPr>
                <w:rFonts w:ascii="Montserrat" w:hAnsi="Montserrat"/>
                <w:bCs/>
                <w:noProof/>
                <w:sz w:val="20"/>
                <w:szCs w:val="20"/>
                <w:lang w:eastAsia="en-GB"/>
              </w:rPr>
            </w:pPr>
            <w:r>
              <w:rPr>
                <w:rFonts w:ascii="Montserrat" w:hAnsi="Montserrat"/>
                <w:bCs/>
                <w:noProof/>
                <w:sz w:val="20"/>
                <w:szCs w:val="20"/>
                <w:lang w:eastAsia="en-GB"/>
              </w:rPr>
              <w:t>During June we continued to see high levels of calls coming into North Star with calls taking longer. The majority of our outstanding repairs have now been carried out and calls are starting to return to pre-pandemic level. As a result of this, we expect to see more calls being dealt with at first point of contact.</w:t>
            </w:r>
          </w:p>
          <w:p w14:paraId="4723E8A6" w14:textId="03C7D175" w:rsidR="003611D3" w:rsidRDefault="003611D3" w:rsidP="003611D3">
            <w:pPr>
              <w:rPr>
                <w:rFonts w:ascii="Montserrat" w:hAnsi="Montserrat"/>
                <w:bCs/>
                <w:noProof/>
                <w:sz w:val="20"/>
                <w:szCs w:val="20"/>
                <w:lang w:eastAsia="en-GB"/>
              </w:rPr>
            </w:pPr>
            <w:r>
              <w:rPr>
                <w:rFonts w:ascii="Montserrat" w:hAnsi="Montserrat"/>
                <w:bCs/>
                <w:noProof/>
                <w:sz w:val="20"/>
                <w:szCs w:val="20"/>
                <w:lang w:eastAsia="en-GB"/>
              </w:rPr>
              <w:t xml:space="preserve"> </w:t>
            </w:r>
          </w:p>
          <w:p w14:paraId="1E1C69A2" w14:textId="23BB1EA4" w:rsidR="00C47587" w:rsidRPr="00C92353" w:rsidRDefault="003611D3" w:rsidP="003F25CA">
            <w:pPr>
              <w:rPr>
                <w:rFonts w:ascii="Montserrat" w:hAnsi="Montserrat"/>
                <w:bCs/>
                <w:noProof/>
                <w:sz w:val="20"/>
                <w:szCs w:val="20"/>
                <w:lang w:eastAsia="en-GB"/>
              </w:rPr>
            </w:pPr>
            <w:r>
              <w:rPr>
                <w:rFonts w:ascii="Montserrat" w:hAnsi="Montserrat"/>
                <w:bCs/>
                <w:noProof/>
                <w:sz w:val="20"/>
                <w:szCs w:val="20"/>
                <w:lang w:eastAsia="en-GB"/>
              </w:rPr>
              <w:t>Following feedback from customers we’re introducing a live chat service from August to make it easier to contact us.</w:t>
            </w:r>
          </w:p>
        </w:tc>
      </w:tr>
    </w:tbl>
    <w:p w14:paraId="5017E19D" w14:textId="421D7526" w:rsidR="00C94851" w:rsidRDefault="00C94851" w:rsidP="00C94851">
      <w:pPr>
        <w:rPr>
          <w:sz w:val="24"/>
          <w:szCs w:val="24"/>
        </w:rPr>
      </w:pPr>
    </w:p>
    <w:sectPr w:rsidR="00C94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Semi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ro">
    <w:panose1 w:val="02000506000000020004"/>
    <w:charset w:val="00"/>
    <w:family w:val="moder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CA"/>
    <w:rsid w:val="000023E2"/>
    <w:rsid w:val="00011635"/>
    <w:rsid w:val="000139A5"/>
    <w:rsid w:val="00045178"/>
    <w:rsid w:val="0005114F"/>
    <w:rsid w:val="00065076"/>
    <w:rsid w:val="0006799F"/>
    <w:rsid w:val="000740E0"/>
    <w:rsid w:val="000758BE"/>
    <w:rsid w:val="00085880"/>
    <w:rsid w:val="00096C62"/>
    <w:rsid w:val="000A0F28"/>
    <w:rsid w:val="000A1E9F"/>
    <w:rsid w:val="000C31D6"/>
    <w:rsid w:val="000D2C99"/>
    <w:rsid w:val="000D3E20"/>
    <w:rsid w:val="000D7587"/>
    <w:rsid w:val="000E4C13"/>
    <w:rsid w:val="000F2036"/>
    <w:rsid w:val="00103D9E"/>
    <w:rsid w:val="00115C6D"/>
    <w:rsid w:val="00127ED0"/>
    <w:rsid w:val="00130F33"/>
    <w:rsid w:val="00131D48"/>
    <w:rsid w:val="0014705C"/>
    <w:rsid w:val="001A5D37"/>
    <w:rsid w:val="001A667D"/>
    <w:rsid w:val="001C0E75"/>
    <w:rsid w:val="001D3BBC"/>
    <w:rsid w:val="001E1677"/>
    <w:rsid w:val="001F12E2"/>
    <w:rsid w:val="001F7163"/>
    <w:rsid w:val="00202C06"/>
    <w:rsid w:val="002040EA"/>
    <w:rsid w:val="002141C2"/>
    <w:rsid w:val="00227401"/>
    <w:rsid w:val="002471A9"/>
    <w:rsid w:val="00247299"/>
    <w:rsid w:val="002515A7"/>
    <w:rsid w:val="002A32AA"/>
    <w:rsid w:val="002C3FF2"/>
    <w:rsid w:val="002C425F"/>
    <w:rsid w:val="002C531D"/>
    <w:rsid w:val="002F17BF"/>
    <w:rsid w:val="00303464"/>
    <w:rsid w:val="00305500"/>
    <w:rsid w:val="00305A87"/>
    <w:rsid w:val="00321937"/>
    <w:rsid w:val="00325F34"/>
    <w:rsid w:val="00326139"/>
    <w:rsid w:val="003277D7"/>
    <w:rsid w:val="0033230F"/>
    <w:rsid w:val="00347B82"/>
    <w:rsid w:val="003545FB"/>
    <w:rsid w:val="003611D3"/>
    <w:rsid w:val="00372E0D"/>
    <w:rsid w:val="0037604A"/>
    <w:rsid w:val="00385E5C"/>
    <w:rsid w:val="003A6C51"/>
    <w:rsid w:val="003D1809"/>
    <w:rsid w:val="003E08F4"/>
    <w:rsid w:val="003E1183"/>
    <w:rsid w:val="003E1C01"/>
    <w:rsid w:val="003E401B"/>
    <w:rsid w:val="003F25CA"/>
    <w:rsid w:val="00454E09"/>
    <w:rsid w:val="00456E91"/>
    <w:rsid w:val="00464507"/>
    <w:rsid w:val="004776E9"/>
    <w:rsid w:val="0049332A"/>
    <w:rsid w:val="0049578E"/>
    <w:rsid w:val="004A0C46"/>
    <w:rsid w:val="004A5156"/>
    <w:rsid w:val="004C3225"/>
    <w:rsid w:val="004E0740"/>
    <w:rsid w:val="004E0AB7"/>
    <w:rsid w:val="004F5642"/>
    <w:rsid w:val="005257D0"/>
    <w:rsid w:val="0055347F"/>
    <w:rsid w:val="00567807"/>
    <w:rsid w:val="00567DBD"/>
    <w:rsid w:val="00573E33"/>
    <w:rsid w:val="0058497F"/>
    <w:rsid w:val="00597F2C"/>
    <w:rsid w:val="005C08BF"/>
    <w:rsid w:val="005C3CE5"/>
    <w:rsid w:val="005D6B5D"/>
    <w:rsid w:val="005D7566"/>
    <w:rsid w:val="005E38B9"/>
    <w:rsid w:val="005F3EDA"/>
    <w:rsid w:val="006041D2"/>
    <w:rsid w:val="006059F5"/>
    <w:rsid w:val="00607853"/>
    <w:rsid w:val="00610525"/>
    <w:rsid w:val="0061279B"/>
    <w:rsid w:val="006207DC"/>
    <w:rsid w:val="006227FC"/>
    <w:rsid w:val="00651B6F"/>
    <w:rsid w:val="00671538"/>
    <w:rsid w:val="006A7CC6"/>
    <w:rsid w:val="006C063C"/>
    <w:rsid w:val="006C181B"/>
    <w:rsid w:val="006C2F67"/>
    <w:rsid w:val="006C5538"/>
    <w:rsid w:val="006D2EC9"/>
    <w:rsid w:val="006E5DF1"/>
    <w:rsid w:val="006F383E"/>
    <w:rsid w:val="00705C30"/>
    <w:rsid w:val="007076EB"/>
    <w:rsid w:val="00711EA2"/>
    <w:rsid w:val="00713FD4"/>
    <w:rsid w:val="00714C1C"/>
    <w:rsid w:val="0072099B"/>
    <w:rsid w:val="007266EE"/>
    <w:rsid w:val="00733BE4"/>
    <w:rsid w:val="007379D0"/>
    <w:rsid w:val="00740B5C"/>
    <w:rsid w:val="0075126B"/>
    <w:rsid w:val="00772843"/>
    <w:rsid w:val="00782E40"/>
    <w:rsid w:val="00782F5F"/>
    <w:rsid w:val="0079099F"/>
    <w:rsid w:val="007A23E0"/>
    <w:rsid w:val="007A5255"/>
    <w:rsid w:val="007B3B75"/>
    <w:rsid w:val="007C35A2"/>
    <w:rsid w:val="007C5FDF"/>
    <w:rsid w:val="007D6332"/>
    <w:rsid w:val="007D7A4F"/>
    <w:rsid w:val="007E307C"/>
    <w:rsid w:val="008041F0"/>
    <w:rsid w:val="00810371"/>
    <w:rsid w:val="0081190A"/>
    <w:rsid w:val="0083272A"/>
    <w:rsid w:val="008440B7"/>
    <w:rsid w:val="0084551C"/>
    <w:rsid w:val="00846C7D"/>
    <w:rsid w:val="00850450"/>
    <w:rsid w:val="0085729E"/>
    <w:rsid w:val="008608A7"/>
    <w:rsid w:val="00867BC7"/>
    <w:rsid w:val="008802EF"/>
    <w:rsid w:val="00881852"/>
    <w:rsid w:val="00883A21"/>
    <w:rsid w:val="00894C2D"/>
    <w:rsid w:val="00896947"/>
    <w:rsid w:val="008A2398"/>
    <w:rsid w:val="008A2E15"/>
    <w:rsid w:val="008B429E"/>
    <w:rsid w:val="008B5295"/>
    <w:rsid w:val="008B5547"/>
    <w:rsid w:val="008C510E"/>
    <w:rsid w:val="008D324A"/>
    <w:rsid w:val="008D3684"/>
    <w:rsid w:val="008E1A71"/>
    <w:rsid w:val="008F5AAA"/>
    <w:rsid w:val="00904DFD"/>
    <w:rsid w:val="009178FC"/>
    <w:rsid w:val="009179CA"/>
    <w:rsid w:val="00921481"/>
    <w:rsid w:val="00951C45"/>
    <w:rsid w:val="0095450B"/>
    <w:rsid w:val="009600C0"/>
    <w:rsid w:val="009A769B"/>
    <w:rsid w:val="009B6CB0"/>
    <w:rsid w:val="009E06BA"/>
    <w:rsid w:val="009F338B"/>
    <w:rsid w:val="00A329AE"/>
    <w:rsid w:val="00A3526D"/>
    <w:rsid w:val="00A44BA3"/>
    <w:rsid w:val="00A62763"/>
    <w:rsid w:val="00A6334C"/>
    <w:rsid w:val="00A64F4B"/>
    <w:rsid w:val="00A76D69"/>
    <w:rsid w:val="00A91F2A"/>
    <w:rsid w:val="00A97C99"/>
    <w:rsid w:val="00AA4FB1"/>
    <w:rsid w:val="00AC44F9"/>
    <w:rsid w:val="00AD5461"/>
    <w:rsid w:val="00AD5B17"/>
    <w:rsid w:val="00AD6341"/>
    <w:rsid w:val="00AD7FAE"/>
    <w:rsid w:val="00AE580B"/>
    <w:rsid w:val="00AF3265"/>
    <w:rsid w:val="00B048DD"/>
    <w:rsid w:val="00B13040"/>
    <w:rsid w:val="00B1401B"/>
    <w:rsid w:val="00B16847"/>
    <w:rsid w:val="00B20C4C"/>
    <w:rsid w:val="00B318EF"/>
    <w:rsid w:val="00B34F30"/>
    <w:rsid w:val="00B3613D"/>
    <w:rsid w:val="00B5077B"/>
    <w:rsid w:val="00B51059"/>
    <w:rsid w:val="00B5397D"/>
    <w:rsid w:val="00B66562"/>
    <w:rsid w:val="00B70ECD"/>
    <w:rsid w:val="00B7613C"/>
    <w:rsid w:val="00B83349"/>
    <w:rsid w:val="00B9226F"/>
    <w:rsid w:val="00BB7573"/>
    <w:rsid w:val="00BC5123"/>
    <w:rsid w:val="00BD618B"/>
    <w:rsid w:val="00BE0199"/>
    <w:rsid w:val="00C02C62"/>
    <w:rsid w:val="00C14757"/>
    <w:rsid w:val="00C30203"/>
    <w:rsid w:val="00C456A0"/>
    <w:rsid w:val="00C47587"/>
    <w:rsid w:val="00C52F19"/>
    <w:rsid w:val="00C55A4C"/>
    <w:rsid w:val="00C703A7"/>
    <w:rsid w:val="00C72BED"/>
    <w:rsid w:val="00C86461"/>
    <w:rsid w:val="00C878D8"/>
    <w:rsid w:val="00C91AD9"/>
    <w:rsid w:val="00C92353"/>
    <w:rsid w:val="00C94851"/>
    <w:rsid w:val="00C95C2D"/>
    <w:rsid w:val="00CC4835"/>
    <w:rsid w:val="00CC5DF2"/>
    <w:rsid w:val="00CE4A26"/>
    <w:rsid w:val="00CF6EC2"/>
    <w:rsid w:val="00D01FFA"/>
    <w:rsid w:val="00D163AC"/>
    <w:rsid w:val="00D32B4F"/>
    <w:rsid w:val="00D45E84"/>
    <w:rsid w:val="00D610DC"/>
    <w:rsid w:val="00D6402B"/>
    <w:rsid w:val="00D71353"/>
    <w:rsid w:val="00DA7D06"/>
    <w:rsid w:val="00DB01B4"/>
    <w:rsid w:val="00DB0D2B"/>
    <w:rsid w:val="00DB511E"/>
    <w:rsid w:val="00DC780D"/>
    <w:rsid w:val="00DD3EDC"/>
    <w:rsid w:val="00DE6CCB"/>
    <w:rsid w:val="00DF0E76"/>
    <w:rsid w:val="00E00ECC"/>
    <w:rsid w:val="00E01C50"/>
    <w:rsid w:val="00E04EC5"/>
    <w:rsid w:val="00E123DA"/>
    <w:rsid w:val="00E16AA1"/>
    <w:rsid w:val="00E21E3B"/>
    <w:rsid w:val="00E350AF"/>
    <w:rsid w:val="00E50A13"/>
    <w:rsid w:val="00E5675F"/>
    <w:rsid w:val="00E6744E"/>
    <w:rsid w:val="00E71C72"/>
    <w:rsid w:val="00EA16CA"/>
    <w:rsid w:val="00EC03EA"/>
    <w:rsid w:val="00EC3498"/>
    <w:rsid w:val="00EC4DFE"/>
    <w:rsid w:val="00EF67B2"/>
    <w:rsid w:val="00F105C8"/>
    <w:rsid w:val="00F13A90"/>
    <w:rsid w:val="00F6005D"/>
    <w:rsid w:val="00F62A28"/>
    <w:rsid w:val="00F64874"/>
    <w:rsid w:val="00F717D7"/>
    <w:rsid w:val="00F85CAC"/>
    <w:rsid w:val="00FC131F"/>
    <w:rsid w:val="00FC4C3A"/>
    <w:rsid w:val="00FD305B"/>
    <w:rsid w:val="00FE3B01"/>
    <w:rsid w:val="00FF4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E145"/>
  <w15:docId w15:val="{5EF08ECC-3C4C-4268-9E89-AD382E59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C03EA"/>
    <w:pPr>
      <w:widowControl w:val="0"/>
      <w:spacing w:before="16" w:after="0" w:line="240" w:lineRule="auto"/>
      <w:ind w:left="120"/>
      <w:outlineLvl w:val="0"/>
    </w:pPr>
    <w:rPr>
      <w:rFonts w:ascii="Montserrat-SemiBold" w:eastAsia="Montserrat-SemiBold" w:hAnsi="Montserrat-SemiBold"/>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1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C03EA"/>
    <w:rPr>
      <w:rFonts w:ascii="Montserrat-SemiBold" w:eastAsia="Montserrat-SemiBold" w:hAnsi="Montserrat-SemiBold"/>
      <w:b/>
      <w:bCs/>
      <w:sz w:val="28"/>
      <w:szCs w:val="28"/>
      <w:lang w:val="en-US"/>
    </w:rPr>
  </w:style>
  <w:style w:type="paragraph" w:styleId="BalloonText">
    <w:name w:val="Balloon Text"/>
    <w:basedOn w:val="Normal"/>
    <w:link w:val="BalloonTextChar"/>
    <w:uiPriority w:val="99"/>
    <w:semiHidden/>
    <w:unhideWhenUsed/>
    <w:rsid w:val="00BB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19042">
      <w:bodyDiv w:val="1"/>
      <w:marLeft w:val="0"/>
      <w:marRight w:val="0"/>
      <w:marTop w:val="0"/>
      <w:marBottom w:val="0"/>
      <w:divBdr>
        <w:top w:val="none" w:sz="0" w:space="0" w:color="auto"/>
        <w:left w:val="none" w:sz="0" w:space="0" w:color="auto"/>
        <w:bottom w:val="none" w:sz="0" w:space="0" w:color="auto"/>
        <w:right w:val="none" w:sz="0" w:space="0" w:color="auto"/>
      </w:divBdr>
    </w:div>
    <w:div w:id="1910382975">
      <w:bodyDiv w:val="1"/>
      <w:marLeft w:val="0"/>
      <w:marRight w:val="0"/>
      <w:marTop w:val="0"/>
      <w:marBottom w:val="0"/>
      <w:divBdr>
        <w:top w:val="none" w:sz="0" w:space="0" w:color="auto"/>
        <w:left w:val="none" w:sz="0" w:space="0" w:color="auto"/>
        <w:bottom w:val="none" w:sz="0" w:space="0" w:color="auto"/>
        <w:right w:val="none" w:sz="0" w:space="0" w:color="auto"/>
      </w:divBdr>
    </w:div>
    <w:div w:id="19233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rth Star">
  <a:themeElements>
    <a:clrScheme name="North Star">
      <a:dk1>
        <a:sysClr val="windowText" lastClr="000000"/>
      </a:dk1>
      <a:lt1>
        <a:sysClr val="window" lastClr="FFFFFF"/>
      </a:lt1>
      <a:dk2>
        <a:srgbClr val="1F497D"/>
      </a:dk2>
      <a:lt2>
        <a:srgbClr val="EEECE1"/>
      </a:lt2>
      <a:accent1>
        <a:srgbClr val="004A8B"/>
      </a:accent1>
      <a:accent2>
        <a:srgbClr val="1BAEE5"/>
      </a:accent2>
      <a:accent3>
        <a:srgbClr val="AFCA0B"/>
      </a:accent3>
      <a:accent4>
        <a:srgbClr val="00A092"/>
      </a:accent4>
      <a:accent5>
        <a:srgbClr val="4BACC6"/>
      </a:accent5>
      <a:accent6>
        <a:srgbClr val="F79646"/>
      </a:accent6>
      <a:hlink>
        <a:srgbClr val="0000FF"/>
      </a:hlink>
      <a:folHlink>
        <a:srgbClr val="800080"/>
      </a:folHlink>
    </a:clrScheme>
    <a:fontScheme name="North Star">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8B5A-5925-4727-A6A2-1BAFBCBB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Richardson</dc:creator>
  <cp:lastModifiedBy>Katherine Allen</cp:lastModifiedBy>
  <cp:revision>6</cp:revision>
  <cp:lastPrinted>2020-01-31T14:24:00Z</cp:lastPrinted>
  <dcterms:created xsi:type="dcterms:W3CDTF">2021-07-15T08:01:00Z</dcterms:created>
  <dcterms:modified xsi:type="dcterms:W3CDTF">2021-08-10T08:22:00Z</dcterms:modified>
</cp:coreProperties>
</file>