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636A2FCD"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Ju</w:t>
      </w:r>
      <w:r w:rsidR="003B3C62">
        <w:rPr>
          <w:rFonts w:ascii="Montserrat" w:eastAsia="Hero" w:hAnsi="Montserrat" w:cs="Hero"/>
          <w:b/>
          <w:color w:val="1BAEE5"/>
          <w:sz w:val="32"/>
          <w:szCs w:val="32"/>
        </w:rPr>
        <w:t>ly</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3C7D16E7" w:rsidR="00454E09" w:rsidRPr="00EC03EA" w:rsidRDefault="003B3C62" w:rsidP="00EA16CA">
            <w:pPr>
              <w:jc w:val="center"/>
              <w:rPr>
                <w:sz w:val="20"/>
                <w:szCs w:val="20"/>
              </w:rPr>
            </w:pPr>
            <w:r>
              <w:rPr>
                <w:sz w:val="20"/>
                <w:szCs w:val="20"/>
              </w:rPr>
              <w:t>99.9%</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437F23BD" w:rsidR="00FD11DA" w:rsidRDefault="00A45F40" w:rsidP="00FD11DA">
            <w:pPr>
              <w:jc w:val="center"/>
              <w:rPr>
                <w:sz w:val="20"/>
                <w:szCs w:val="20"/>
              </w:rPr>
            </w:pPr>
            <w:r>
              <w:rPr>
                <w:sz w:val="20"/>
                <w:szCs w:val="20"/>
              </w:rPr>
              <w:t>88.9%</w:t>
            </w:r>
          </w:p>
        </w:tc>
        <w:tc>
          <w:tcPr>
            <w:tcW w:w="1310" w:type="dxa"/>
          </w:tcPr>
          <w:p w14:paraId="0E4CDF26" w14:textId="4B19A4F4" w:rsidR="00FD11DA" w:rsidRPr="00EC03EA" w:rsidRDefault="00A45F40"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31D9F74A" wp14:editId="11F092C6">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235547A5" w14:textId="0FC03FA1" w:rsidR="00784420" w:rsidRDefault="00784420" w:rsidP="00784420">
            <w:pPr>
              <w:rPr>
                <w:rFonts w:ascii="Montserrat" w:hAnsi="Montserrat"/>
                <w:sz w:val="20"/>
                <w:szCs w:val="20"/>
                <w:lang w:eastAsia="en-GB"/>
              </w:rPr>
            </w:pPr>
            <w:r>
              <w:rPr>
                <w:rFonts w:ascii="Montserrat" w:hAnsi="Montserrat"/>
                <w:sz w:val="20"/>
                <w:szCs w:val="20"/>
                <w:lang w:eastAsia="en-GB"/>
              </w:rPr>
              <w:t>One</w:t>
            </w:r>
            <w:r>
              <w:rPr>
                <w:rFonts w:ascii="Montserrat" w:hAnsi="Montserrat"/>
                <w:sz w:val="20"/>
                <w:szCs w:val="20"/>
                <w:lang w:eastAsia="en-GB"/>
              </w:rPr>
              <w:t xml:space="preserve"> property had an overdue gas service at the end of July.</w:t>
            </w:r>
          </w:p>
          <w:p w14:paraId="0F940EFB" w14:textId="77777777" w:rsidR="00867AF0" w:rsidRDefault="00867AF0" w:rsidP="00FD11DA">
            <w:pPr>
              <w:rPr>
                <w:rFonts w:ascii="Montserrat" w:hAnsi="Montserrat"/>
                <w:sz w:val="20"/>
                <w:szCs w:val="20"/>
                <w:lang w:eastAsia="en-GB"/>
              </w:rPr>
            </w:pPr>
          </w:p>
          <w:p w14:paraId="009834DF" w14:textId="183C5B68" w:rsidR="00FD11DA" w:rsidRPr="00867AF0" w:rsidRDefault="00A45F40" w:rsidP="00FD11DA">
            <w:pPr>
              <w:rPr>
                <w:rFonts w:ascii="Montserrat" w:hAnsi="Montserrat"/>
                <w:b/>
                <w:bCs/>
                <w:noProof/>
                <w:sz w:val="20"/>
                <w:szCs w:val="20"/>
                <w:lang w:eastAsia="en-GB"/>
              </w:rPr>
            </w:pPr>
            <w:r w:rsidRPr="00867AF0">
              <w:rPr>
                <w:rFonts w:ascii="Montserrat" w:hAnsi="Montserrat"/>
                <w:b/>
                <w:bCs/>
                <w:noProof/>
                <w:sz w:val="20"/>
                <w:szCs w:val="20"/>
                <w:lang w:eastAsia="en-GB"/>
              </w:rPr>
              <w:t>% satisfaction with repair</w:t>
            </w:r>
            <w:r w:rsidR="00867AF0" w:rsidRPr="00867AF0">
              <w:rPr>
                <w:rFonts w:ascii="Montserrat" w:hAnsi="Montserrat"/>
                <w:b/>
                <w:bCs/>
                <w:noProof/>
                <w:sz w:val="20"/>
                <w:szCs w:val="20"/>
                <w:lang w:eastAsia="en-GB"/>
              </w:rPr>
              <w:t>:</w:t>
            </w:r>
          </w:p>
          <w:p w14:paraId="3A5FB1CE" w14:textId="61AACCE3" w:rsidR="00FD11DA" w:rsidRPr="00307961" w:rsidRDefault="00307961" w:rsidP="00FD11DA">
            <w:pPr>
              <w:rPr>
                <w:rFonts w:ascii="Montserrat" w:hAnsi="Montserrat"/>
                <w:noProof/>
                <w:sz w:val="20"/>
                <w:szCs w:val="20"/>
                <w:lang w:eastAsia="en-GB"/>
              </w:rPr>
            </w:pPr>
            <w:r>
              <w:rPr>
                <w:rFonts w:ascii="Montserrat" w:hAnsi="Montserrat"/>
                <w:bCs/>
                <w:sz w:val="20"/>
                <w:szCs w:val="20"/>
              </w:rPr>
              <w:t>104 out of 117 customer were happy with their most recent repair.  All 13 customers who were not satisfied with their repair have been called and steps have been taken to address their concerns</w:t>
            </w: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540ACD17" w:rsidR="00C94851" w:rsidRPr="008C510E" w:rsidRDefault="00912EFB" w:rsidP="00C94851">
            <w:pPr>
              <w:jc w:val="center"/>
              <w:rPr>
                <w:sz w:val="20"/>
                <w:szCs w:val="20"/>
              </w:rPr>
            </w:pPr>
            <w:r>
              <w:rPr>
                <w:sz w:val="20"/>
                <w:szCs w:val="20"/>
              </w:rPr>
              <w:t>0.91%</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18FC9F46" w:rsidR="00C94851" w:rsidRPr="008C510E" w:rsidRDefault="002F1154" w:rsidP="00BB7573">
            <w:pPr>
              <w:jc w:val="center"/>
              <w:rPr>
                <w:sz w:val="20"/>
                <w:szCs w:val="20"/>
              </w:rPr>
            </w:pPr>
            <w:r>
              <w:rPr>
                <w:sz w:val="20"/>
                <w:szCs w:val="20"/>
              </w:rPr>
              <w:t>21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0641084A" w:rsidR="00F64874" w:rsidRPr="008C510E" w:rsidRDefault="00D6402B" w:rsidP="00782F5F">
            <w:pPr>
              <w:jc w:val="center"/>
              <w:rPr>
                <w:sz w:val="20"/>
                <w:szCs w:val="20"/>
              </w:rPr>
            </w:pPr>
            <w:r>
              <w:rPr>
                <w:sz w:val="20"/>
                <w:szCs w:val="20"/>
              </w:rPr>
              <w:t>2.</w:t>
            </w:r>
            <w:r w:rsidR="00C36DEA">
              <w:rPr>
                <w:sz w:val="20"/>
                <w:szCs w:val="20"/>
              </w:rPr>
              <w:t>.81</w:t>
            </w:r>
            <w:r>
              <w:rPr>
                <w:sz w:val="20"/>
                <w:szCs w:val="20"/>
              </w:rPr>
              <w:t>%</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75458B60"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6710D02C" w14:textId="6FFBB096" w:rsidR="00C36DEA" w:rsidRPr="00E83BFC" w:rsidRDefault="00E83BFC" w:rsidP="00E83BFC">
            <w:pPr>
              <w:rPr>
                <w:rFonts w:ascii="Montserrat" w:hAnsi="Montserrat"/>
                <w:bCs/>
                <w:noProof/>
                <w:sz w:val="20"/>
                <w:szCs w:val="20"/>
                <w:lang w:eastAsia="en-GB"/>
              </w:rPr>
            </w:pPr>
            <w:r w:rsidRPr="00E83BFC">
              <w:rPr>
                <w:rFonts w:ascii="Montserrat" w:hAnsi="Montserrat"/>
                <w:bCs/>
                <w:noProof/>
                <w:sz w:val="20"/>
                <w:szCs w:val="20"/>
                <w:lang w:eastAsia="en-GB"/>
              </w:rPr>
              <w:t xml:space="preserve">As a result of the pandemic, we are seeing more tenants move onto universal credit which is impacting our performance as this is paid monthly in arrears. Our welfare benefits team continue to support our tenants through maximising income and applying for grants and funding  where appropriate alongside working in partnership with other organisations including Stepchange, CAB etc.  </w:t>
            </w:r>
          </w:p>
        </w:tc>
      </w:tr>
    </w:tbl>
    <w:p w14:paraId="5017E18B" w14:textId="77777777" w:rsidR="000740E0" w:rsidRDefault="000740E0"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0126784A" w:rsidR="00EC03EA" w:rsidRPr="008C510E" w:rsidRDefault="006059F5" w:rsidP="00DB511E">
            <w:pPr>
              <w:jc w:val="center"/>
              <w:rPr>
                <w:sz w:val="20"/>
                <w:szCs w:val="20"/>
              </w:rPr>
            </w:pPr>
            <w:r>
              <w:rPr>
                <w:sz w:val="20"/>
                <w:szCs w:val="20"/>
              </w:rPr>
              <w:t>8</w:t>
            </w:r>
            <w:r w:rsidR="00C36DEA">
              <w:rPr>
                <w:sz w:val="20"/>
                <w:szCs w:val="20"/>
              </w:rPr>
              <w:t>8</w:t>
            </w:r>
            <w:r>
              <w:rPr>
                <w:sz w:val="20"/>
                <w:szCs w:val="20"/>
              </w:rPr>
              <w:t>%</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78D5C7CC" w14:textId="422454B7" w:rsidR="00B5397D"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p>
          <w:p w14:paraId="27501FD9" w14:textId="77777777" w:rsidR="00EF0AF0" w:rsidRPr="00E70E6F" w:rsidRDefault="00EF0AF0" w:rsidP="00EF0AF0">
            <w:pPr>
              <w:rPr>
                <w:rFonts w:ascii="Montserrat" w:hAnsi="Montserrat"/>
                <w:bCs/>
                <w:noProof/>
                <w:sz w:val="20"/>
                <w:szCs w:val="20"/>
                <w:lang w:eastAsia="en-GB"/>
              </w:rPr>
            </w:pPr>
            <w:r w:rsidRPr="00E70E6F">
              <w:rPr>
                <w:rFonts w:ascii="Montserrat" w:hAnsi="Montserrat"/>
                <w:bCs/>
                <w:noProof/>
                <w:sz w:val="20"/>
                <w:szCs w:val="20"/>
                <w:lang w:eastAsia="en-GB"/>
              </w:rPr>
              <w:t xml:space="preserve">We continued to see high levels of calls coming into North Star during July with calls taking longer. </w:t>
            </w:r>
          </w:p>
          <w:p w14:paraId="47E2984E" w14:textId="77777777" w:rsidR="00EF0AF0" w:rsidRPr="00E70E6F" w:rsidRDefault="00EF0AF0" w:rsidP="00EF0AF0">
            <w:pPr>
              <w:rPr>
                <w:rFonts w:ascii="Montserrat" w:hAnsi="Montserrat"/>
                <w:bCs/>
                <w:noProof/>
                <w:sz w:val="20"/>
                <w:szCs w:val="20"/>
                <w:lang w:eastAsia="en-GB"/>
              </w:rPr>
            </w:pPr>
            <w:r w:rsidRPr="00E70E6F">
              <w:rPr>
                <w:rFonts w:ascii="Montserrat" w:hAnsi="Montserrat"/>
                <w:bCs/>
                <w:noProof/>
                <w:sz w:val="20"/>
                <w:szCs w:val="20"/>
                <w:lang w:eastAsia="en-GB"/>
              </w:rPr>
              <w:lastRenderedPageBreak/>
              <w:t xml:space="preserve">We have introduced a new realtime feedback service for our repairs and customer service teams.    </w:t>
            </w:r>
          </w:p>
          <w:p w14:paraId="1E1C69A2" w14:textId="228131C5" w:rsidR="00C47587" w:rsidRPr="00C92353" w:rsidRDefault="00EF0AF0" w:rsidP="003F25CA">
            <w:pPr>
              <w:rPr>
                <w:rFonts w:ascii="Montserrat" w:hAnsi="Montserrat"/>
                <w:bCs/>
                <w:noProof/>
                <w:sz w:val="20"/>
                <w:szCs w:val="20"/>
                <w:lang w:eastAsia="en-GB"/>
              </w:rPr>
            </w:pPr>
            <w:r w:rsidRPr="00E70E6F">
              <w:rPr>
                <w:rFonts w:ascii="Montserrat" w:hAnsi="Montserrat"/>
                <w:bCs/>
                <w:noProof/>
                <w:sz w:val="20"/>
                <w:szCs w:val="20"/>
                <w:lang w:eastAsia="en-GB"/>
              </w:rPr>
              <w:t>Any customer who expresses dis-satisfaction is contacted within one working day to resolve any outstanding issues.</w:t>
            </w: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8BE"/>
    <w:rsid w:val="00085880"/>
    <w:rsid w:val="00096C62"/>
    <w:rsid w:val="000A0F28"/>
    <w:rsid w:val="000A1E9F"/>
    <w:rsid w:val="000C31D6"/>
    <w:rsid w:val="000D2C99"/>
    <w:rsid w:val="000D3E20"/>
    <w:rsid w:val="000E4C13"/>
    <w:rsid w:val="000F2036"/>
    <w:rsid w:val="00103D9E"/>
    <w:rsid w:val="00115C6D"/>
    <w:rsid w:val="00127ED0"/>
    <w:rsid w:val="00130F33"/>
    <w:rsid w:val="00131D48"/>
    <w:rsid w:val="0014705C"/>
    <w:rsid w:val="001A5D37"/>
    <w:rsid w:val="001A667D"/>
    <w:rsid w:val="001C0E75"/>
    <w:rsid w:val="001D3BBC"/>
    <w:rsid w:val="001E1677"/>
    <w:rsid w:val="001F12E2"/>
    <w:rsid w:val="001F7163"/>
    <w:rsid w:val="00202C06"/>
    <w:rsid w:val="002040EA"/>
    <w:rsid w:val="002141C2"/>
    <w:rsid w:val="00227401"/>
    <w:rsid w:val="002471A9"/>
    <w:rsid w:val="00247299"/>
    <w:rsid w:val="002515A7"/>
    <w:rsid w:val="002A32AA"/>
    <w:rsid w:val="002C3FF2"/>
    <w:rsid w:val="002C425F"/>
    <w:rsid w:val="002C531D"/>
    <w:rsid w:val="002F1154"/>
    <w:rsid w:val="002F17BF"/>
    <w:rsid w:val="00303464"/>
    <w:rsid w:val="00305500"/>
    <w:rsid w:val="00305A87"/>
    <w:rsid w:val="00307961"/>
    <w:rsid w:val="00321937"/>
    <w:rsid w:val="00325F34"/>
    <w:rsid w:val="00326139"/>
    <w:rsid w:val="003277D7"/>
    <w:rsid w:val="0033230F"/>
    <w:rsid w:val="00347B82"/>
    <w:rsid w:val="003545FB"/>
    <w:rsid w:val="00372E0D"/>
    <w:rsid w:val="0037604A"/>
    <w:rsid w:val="00385E5C"/>
    <w:rsid w:val="003A6C51"/>
    <w:rsid w:val="003B3C62"/>
    <w:rsid w:val="003C3F17"/>
    <w:rsid w:val="003D1809"/>
    <w:rsid w:val="003E08F4"/>
    <w:rsid w:val="003E1183"/>
    <w:rsid w:val="003E1C01"/>
    <w:rsid w:val="003E401B"/>
    <w:rsid w:val="003F25CA"/>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7807"/>
    <w:rsid w:val="00567DBD"/>
    <w:rsid w:val="00573E33"/>
    <w:rsid w:val="0058497F"/>
    <w:rsid w:val="00597F2C"/>
    <w:rsid w:val="005C08BF"/>
    <w:rsid w:val="005C3CE5"/>
    <w:rsid w:val="005D6B5D"/>
    <w:rsid w:val="005D7566"/>
    <w:rsid w:val="005E38B9"/>
    <w:rsid w:val="005F3EDA"/>
    <w:rsid w:val="006041D2"/>
    <w:rsid w:val="006059F5"/>
    <w:rsid w:val="00607853"/>
    <w:rsid w:val="00610525"/>
    <w:rsid w:val="0061279B"/>
    <w:rsid w:val="006207DC"/>
    <w:rsid w:val="006227FC"/>
    <w:rsid w:val="00651B6F"/>
    <w:rsid w:val="00671538"/>
    <w:rsid w:val="006A7CC6"/>
    <w:rsid w:val="006C063C"/>
    <w:rsid w:val="006C181B"/>
    <w:rsid w:val="006C2F67"/>
    <w:rsid w:val="006C5538"/>
    <w:rsid w:val="006D2EC9"/>
    <w:rsid w:val="006E5DF1"/>
    <w:rsid w:val="006F383E"/>
    <w:rsid w:val="00705C30"/>
    <w:rsid w:val="007076EB"/>
    <w:rsid w:val="00711EA2"/>
    <w:rsid w:val="00713FD4"/>
    <w:rsid w:val="00714C1C"/>
    <w:rsid w:val="0072099B"/>
    <w:rsid w:val="007266EE"/>
    <w:rsid w:val="00733BE4"/>
    <w:rsid w:val="007379D0"/>
    <w:rsid w:val="00740B5C"/>
    <w:rsid w:val="0075126B"/>
    <w:rsid w:val="00772843"/>
    <w:rsid w:val="00782E40"/>
    <w:rsid w:val="00782F5F"/>
    <w:rsid w:val="00784420"/>
    <w:rsid w:val="0079099F"/>
    <w:rsid w:val="007A23E0"/>
    <w:rsid w:val="007A5255"/>
    <w:rsid w:val="007B3B75"/>
    <w:rsid w:val="007C35A2"/>
    <w:rsid w:val="007C5FDF"/>
    <w:rsid w:val="007D6332"/>
    <w:rsid w:val="007D7A4F"/>
    <w:rsid w:val="007E307C"/>
    <w:rsid w:val="008041F0"/>
    <w:rsid w:val="00810371"/>
    <w:rsid w:val="0081190A"/>
    <w:rsid w:val="0083272A"/>
    <w:rsid w:val="008440B7"/>
    <w:rsid w:val="0084551C"/>
    <w:rsid w:val="00846C7D"/>
    <w:rsid w:val="00850450"/>
    <w:rsid w:val="0085729E"/>
    <w:rsid w:val="008608A7"/>
    <w:rsid w:val="00867AF0"/>
    <w:rsid w:val="00867BC7"/>
    <w:rsid w:val="008802EF"/>
    <w:rsid w:val="00881852"/>
    <w:rsid w:val="00883A21"/>
    <w:rsid w:val="00894C2D"/>
    <w:rsid w:val="00896947"/>
    <w:rsid w:val="008A2E15"/>
    <w:rsid w:val="008B429E"/>
    <w:rsid w:val="008B5547"/>
    <w:rsid w:val="008C510E"/>
    <w:rsid w:val="008D324A"/>
    <w:rsid w:val="008E1A71"/>
    <w:rsid w:val="008F5AAA"/>
    <w:rsid w:val="00904DFD"/>
    <w:rsid w:val="00912EFB"/>
    <w:rsid w:val="009178FC"/>
    <w:rsid w:val="009179CA"/>
    <w:rsid w:val="00921481"/>
    <w:rsid w:val="00951C45"/>
    <w:rsid w:val="0095450B"/>
    <w:rsid w:val="009600C0"/>
    <w:rsid w:val="009A769B"/>
    <w:rsid w:val="009B6CB0"/>
    <w:rsid w:val="009E06BA"/>
    <w:rsid w:val="009F338B"/>
    <w:rsid w:val="00A329AE"/>
    <w:rsid w:val="00A3526D"/>
    <w:rsid w:val="00A44BA3"/>
    <w:rsid w:val="00A45F40"/>
    <w:rsid w:val="00A62763"/>
    <w:rsid w:val="00A6334C"/>
    <w:rsid w:val="00A64F4B"/>
    <w:rsid w:val="00A76D69"/>
    <w:rsid w:val="00A91F2A"/>
    <w:rsid w:val="00A97C99"/>
    <w:rsid w:val="00AA4FB1"/>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97D"/>
    <w:rsid w:val="00B66562"/>
    <w:rsid w:val="00B70ECD"/>
    <w:rsid w:val="00B7613C"/>
    <w:rsid w:val="00B83349"/>
    <w:rsid w:val="00B9226F"/>
    <w:rsid w:val="00BB7573"/>
    <w:rsid w:val="00BC5123"/>
    <w:rsid w:val="00BD618B"/>
    <w:rsid w:val="00BE0199"/>
    <w:rsid w:val="00C02C62"/>
    <w:rsid w:val="00C14757"/>
    <w:rsid w:val="00C30203"/>
    <w:rsid w:val="00C36DEA"/>
    <w:rsid w:val="00C456A0"/>
    <w:rsid w:val="00C47587"/>
    <w:rsid w:val="00C52F19"/>
    <w:rsid w:val="00C55A4C"/>
    <w:rsid w:val="00C703A7"/>
    <w:rsid w:val="00C72BED"/>
    <w:rsid w:val="00C86461"/>
    <w:rsid w:val="00C878D8"/>
    <w:rsid w:val="00C91AD9"/>
    <w:rsid w:val="00C92353"/>
    <w:rsid w:val="00C94851"/>
    <w:rsid w:val="00C95C2D"/>
    <w:rsid w:val="00CC4835"/>
    <w:rsid w:val="00CC5DF2"/>
    <w:rsid w:val="00CE4A26"/>
    <w:rsid w:val="00CF6EC2"/>
    <w:rsid w:val="00D01FFA"/>
    <w:rsid w:val="00D163AC"/>
    <w:rsid w:val="00D32B4F"/>
    <w:rsid w:val="00D45E84"/>
    <w:rsid w:val="00D610DC"/>
    <w:rsid w:val="00D6402B"/>
    <w:rsid w:val="00D71353"/>
    <w:rsid w:val="00DA7D06"/>
    <w:rsid w:val="00DB01B4"/>
    <w:rsid w:val="00DB0D2B"/>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744E"/>
    <w:rsid w:val="00E70E6F"/>
    <w:rsid w:val="00E71C72"/>
    <w:rsid w:val="00E83BFC"/>
    <w:rsid w:val="00EA16CA"/>
    <w:rsid w:val="00EC03EA"/>
    <w:rsid w:val="00EC3498"/>
    <w:rsid w:val="00EC4DFE"/>
    <w:rsid w:val="00EF0AF0"/>
    <w:rsid w:val="00EF67B2"/>
    <w:rsid w:val="00F105C8"/>
    <w:rsid w:val="00F13A90"/>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26FC-0A9E-4CC3-B255-87241EEE98D8}">
  <ds:schemaRefs>
    <ds:schemaRef ds:uri="http://schemas.microsoft.com/sharepoint/v3/contenttype/forms"/>
  </ds:schemaRefs>
</ds:datastoreItem>
</file>

<file path=customXml/itemProps2.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4.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14</cp:revision>
  <cp:lastPrinted>2020-01-31T14:24:00Z</cp:lastPrinted>
  <dcterms:created xsi:type="dcterms:W3CDTF">2021-08-09T15:13:00Z</dcterms:created>
  <dcterms:modified xsi:type="dcterms:W3CDTF">2021-08-27T08:14:00Z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