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0024C722"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 xml:space="preserve">Performance as at </w:t>
      </w:r>
      <w:r w:rsidR="008608A7">
        <w:rPr>
          <w:rFonts w:ascii="Montserrat" w:eastAsia="Hero" w:hAnsi="Montserrat" w:cs="Hero"/>
          <w:b/>
          <w:color w:val="1BAEE5"/>
          <w:sz w:val="32"/>
          <w:szCs w:val="32"/>
        </w:rPr>
        <w:t>April</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2" w14:textId="77777777" w:rsidTr="00B5397D">
        <w:tc>
          <w:tcPr>
            <w:tcW w:w="4757" w:type="dxa"/>
          </w:tcPr>
          <w:p w14:paraId="5017E14E" w14:textId="77777777" w:rsidR="00454E09" w:rsidRPr="00EC03EA" w:rsidRDefault="00454E09" w:rsidP="005B2425">
            <w:pPr>
              <w:rPr>
                <w:sz w:val="20"/>
                <w:szCs w:val="20"/>
              </w:rPr>
            </w:pPr>
            <w:r w:rsidRPr="00EC03EA">
              <w:rPr>
                <w:sz w:val="20"/>
                <w:szCs w:val="20"/>
              </w:rPr>
              <w:t>% of appointments kept</w:t>
            </w:r>
          </w:p>
        </w:tc>
        <w:tc>
          <w:tcPr>
            <w:tcW w:w="1121" w:type="dxa"/>
          </w:tcPr>
          <w:p w14:paraId="5017E14F" w14:textId="77777777" w:rsidR="00454E09" w:rsidRPr="00EC03EA" w:rsidRDefault="00454E09" w:rsidP="005B2425">
            <w:pPr>
              <w:jc w:val="center"/>
              <w:rPr>
                <w:sz w:val="20"/>
                <w:szCs w:val="20"/>
              </w:rPr>
            </w:pPr>
            <w:r w:rsidRPr="00EC03EA">
              <w:rPr>
                <w:sz w:val="20"/>
                <w:szCs w:val="20"/>
              </w:rPr>
              <w:t>95%</w:t>
            </w:r>
          </w:p>
        </w:tc>
        <w:tc>
          <w:tcPr>
            <w:tcW w:w="1828" w:type="dxa"/>
          </w:tcPr>
          <w:p w14:paraId="5017E150" w14:textId="4076B176" w:rsidR="00C92353" w:rsidRDefault="00C92353" w:rsidP="00C92353">
            <w:pPr>
              <w:jc w:val="center"/>
              <w:rPr>
                <w:sz w:val="20"/>
                <w:szCs w:val="20"/>
              </w:rPr>
            </w:pPr>
            <w:r>
              <w:rPr>
                <w:sz w:val="20"/>
                <w:szCs w:val="20"/>
              </w:rPr>
              <w:t>95%</w:t>
            </w:r>
          </w:p>
        </w:tc>
        <w:tc>
          <w:tcPr>
            <w:tcW w:w="1310" w:type="dxa"/>
          </w:tcPr>
          <w:p w14:paraId="5017E151" w14:textId="7C707C76" w:rsidR="00454E09" w:rsidRPr="008C510E" w:rsidRDefault="003F25CA" w:rsidP="00EA16CA">
            <w:pPr>
              <w:jc w:val="center"/>
              <w:rPr>
                <w:rFonts w:ascii="Montserrat" w:hAnsi="Montserrat"/>
                <w:noProof/>
                <w:sz w:val="20"/>
                <w:szCs w:val="20"/>
                <w:lang w:eastAsia="en-GB"/>
              </w:rPr>
            </w:pPr>
            <w:r w:rsidRPr="008C510E">
              <w:rPr>
                <w:rFonts w:ascii="Montserrat" w:hAnsi="Montserrat"/>
                <w:noProof/>
                <w:sz w:val="20"/>
                <w:szCs w:val="20"/>
                <w:lang w:eastAsia="en-GB"/>
              </w:rPr>
              <w:drawing>
                <wp:inline distT="0" distB="0" distL="0" distR="0" wp14:anchorId="0263BA79" wp14:editId="46F57452">
                  <wp:extent cx="2857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454E09" w14:paraId="5017E157" w14:textId="77777777" w:rsidTr="00B5397D">
        <w:tc>
          <w:tcPr>
            <w:tcW w:w="4757" w:type="dxa"/>
          </w:tcPr>
          <w:p w14:paraId="5017E153" w14:textId="77777777" w:rsidR="00454E09" w:rsidRPr="00EC03EA" w:rsidRDefault="00454E09" w:rsidP="005B2425">
            <w:pPr>
              <w:rPr>
                <w:sz w:val="20"/>
                <w:szCs w:val="20"/>
              </w:rPr>
            </w:pPr>
            <w:r w:rsidRPr="00EC03EA">
              <w:rPr>
                <w:sz w:val="20"/>
                <w:szCs w:val="20"/>
              </w:rPr>
              <w:t>% Tenant satisfaction</w:t>
            </w:r>
          </w:p>
        </w:tc>
        <w:tc>
          <w:tcPr>
            <w:tcW w:w="1121" w:type="dxa"/>
          </w:tcPr>
          <w:p w14:paraId="5017E154" w14:textId="77777777" w:rsidR="00454E09" w:rsidRPr="00EC03EA" w:rsidRDefault="00454E09" w:rsidP="005B2425">
            <w:pPr>
              <w:jc w:val="center"/>
              <w:rPr>
                <w:sz w:val="20"/>
                <w:szCs w:val="20"/>
              </w:rPr>
            </w:pPr>
            <w:r w:rsidRPr="00EC03EA">
              <w:rPr>
                <w:sz w:val="20"/>
                <w:szCs w:val="20"/>
              </w:rPr>
              <w:t>92%</w:t>
            </w:r>
          </w:p>
        </w:tc>
        <w:tc>
          <w:tcPr>
            <w:tcW w:w="1828" w:type="dxa"/>
          </w:tcPr>
          <w:p w14:paraId="5017E155" w14:textId="7FA061B4" w:rsidR="00454E09" w:rsidRDefault="00C92353" w:rsidP="00EA16CA">
            <w:pPr>
              <w:jc w:val="center"/>
              <w:rPr>
                <w:sz w:val="20"/>
                <w:szCs w:val="20"/>
              </w:rPr>
            </w:pPr>
            <w:r>
              <w:rPr>
                <w:sz w:val="20"/>
                <w:szCs w:val="20"/>
              </w:rPr>
              <w:t>93%</w:t>
            </w:r>
          </w:p>
        </w:tc>
        <w:tc>
          <w:tcPr>
            <w:tcW w:w="1310" w:type="dxa"/>
          </w:tcPr>
          <w:p w14:paraId="5017E156" w14:textId="6DE65339" w:rsidR="00454E09" w:rsidRPr="008C510E" w:rsidRDefault="003F25CA" w:rsidP="00EA16CA">
            <w:pPr>
              <w:jc w:val="center"/>
              <w:rPr>
                <w:rFonts w:ascii="Montserrat" w:hAnsi="Montserrat"/>
                <w:noProof/>
                <w:sz w:val="20"/>
                <w:szCs w:val="20"/>
                <w:lang w:eastAsia="en-GB"/>
              </w:rPr>
            </w:pPr>
            <w:r w:rsidRPr="008C510E">
              <w:rPr>
                <w:rFonts w:ascii="Montserrat" w:hAnsi="Montserrat"/>
                <w:noProof/>
                <w:sz w:val="20"/>
                <w:szCs w:val="20"/>
                <w:lang w:eastAsia="en-GB"/>
              </w:rPr>
              <w:drawing>
                <wp:inline distT="0" distB="0" distL="0" distR="0" wp14:anchorId="3813AD44" wp14:editId="65EAD168">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454E09" w14:paraId="5017E15C" w14:textId="77777777" w:rsidTr="00B5397D">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21B24D5D" w:rsidR="00454E09" w:rsidRPr="00EC03EA" w:rsidRDefault="007D6332" w:rsidP="00EA16CA">
            <w:pPr>
              <w:jc w:val="center"/>
              <w:rPr>
                <w:sz w:val="20"/>
                <w:szCs w:val="20"/>
              </w:rPr>
            </w:pPr>
            <w:r>
              <w:rPr>
                <w:sz w:val="20"/>
                <w:szCs w:val="20"/>
              </w:rPr>
              <w:t>99.9%</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B5397D" w14:paraId="043505E7" w14:textId="77777777" w:rsidTr="00213CE8">
        <w:tc>
          <w:tcPr>
            <w:tcW w:w="9016" w:type="dxa"/>
            <w:gridSpan w:val="4"/>
          </w:tcPr>
          <w:p w14:paraId="16B75CAB" w14:textId="0D34A0AF" w:rsidR="00B5397D" w:rsidRDefault="00B5397D" w:rsidP="00B5397D">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p>
          <w:p w14:paraId="3A5FB1CE" w14:textId="4D827BB0" w:rsidR="00B5397D" w:rsidRPr="006449AA" w:rsidRDefault="006449AA" w:rsidP="006449AA">
            <w:pPr>
              <w:rPr>
                <w:rFonts w:ascii="Montserrat" w:hAnsi="Montserrat"/>
                <w:sz w:val="20"/>
                <w:szCs w:val="20"/>
                <w:lang w:eastAsia="en-GB"/>
              </w:rPr>
            </w:pPr>
            <w:r>
              <w:rPr>
                <w:rFonts w:ascii="Montserrat" w:hAnsi="Montserrat"/>
                <w:sz w:val="20"/>
                <w:szCs w:val="20"/>
                <w:lang w:eastAsia="en-GB"/>
              </w:rPr>
              <w:t>One</w:t>
            </w:r>
            <w:r w:rsidRPr="00BE06F1">
              <w:rPr>
                <w:rFonts w:ascii="Montserrat" w:hAnsi="Montserrat"/>
                <w:sz w:val="20"/>
                <w:szCs w:val="20"/>
                <w:lang w:eastAsia="en-GB"/>
              </w:rPr>
              <w:t xml:space="preserve"> property had overdue gas services at the end of April. This was completed on the 6</w:t>
            </w:r>
            <w:r w:rsidRPr="00BE06F1">
              <w:rPr>
                <w:rFonts w:ascii="Montserrat" w:hAnsi="Montserrat"/>
                <w:sz w:val="20"/>
                <w:szCs w:val="20"/>
                <w:vertAlign w:val="superscript"/>
                <w:lang w:eastAsia="en-GB"/>
              </w:rPr>
              <w:t>th</w:t>
            </w:r>
            <w:r w:rsidRPr="00BE06F1">
              <w:rPr>
                <w:rFonts w:ascii="Montserrat" w:hAnsi="Montserrat"/>
                <w:sz w:val="20"/>
                <w:szCs w:val="20"/>
                <w:lang w:eastAsia="en-GB"/>
              </w:rPr>
              <w:t xml:space="preserve"> May and we have continued with 100% compliance from this date.</w:t>
            </w: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7777777" w:rsidR="00C94851" w:rsidRPr="008C510E" w:rsidRDefault="00C94851" w:rsidP="00C94851">
            <w:pPr>
              <w:jc w:val="center"/>
              <w:rPr>
                <w:sz w:val="20"/>
                <w:szCs w:val="20"/>
              </w:rPr>
            </w:pPr>
            <w:r w:rsidRPr="008C510E">
              <w:rPr>
                <w:sz w:val="20"/>
                <w:szCs w:val="20"/>
              </w:rPr>
              <w:t>1.2</w:t>
            </w:r>
            <w:r w:rsidR="00385E5C">
              <w:rPr>
                <w:sz w:val="20"/>
                <w:szCs w:val="20"/>
              </w:rPr>
              <w:t>0</w:t>
            </w:r>
            <w:r w:rsidRPr="008C510E">
              <w:rPr>
                <w:sz w:val="20"/>
                <w:szCs w:val="20"/>
              </w:rPr>
              <w:t>%</w:t>
            </w:r>
          </w:p>
        </w:tc>
        <w:tc>
          <w:tcPr>
            <w:tcW w:w="1843" w:type="dxa"/>
          </w:tcPr>
          <w:p w14:paraId="5017E172" w14:textId="7FB31866" w:rsidR="00C94851" w:rsidRPr="008C510E" w:rsidRDefault="0083272A" w:rsidP="00C94851">
            <w:pPr>
              <w:jc w:val="center"/>
              <w:rPr>
                <w:sz w:val="20"/>
                <w:szCs w:val="20"/>
              </w:rPr>
            </w:pPr>
            <w:r>
              <w:rPr>
                <w:sz w:val="20"/>
                <w:szCs w:val="20"/>
              </w:rPr>
              <w:t>0.99%</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77777777" w:rsidR="00C94851" w:rsidRPr="008C510E" w:rsidRDefault="00881852" w:rsidP="00BB7573">
            <w:pPr>
              <w:jc w:val="center"/>
              <w:rPr>
                <w:sz w:val="20"/>
                <w:szCs w:val="20"/>
              </w:rPr>
            </w:pPr>
            <w:r>
              <w:rPr>
                <w:sz w:val="20"/>
                <w:szCs w:val="20"/>
              </w:rPr>
              <w:t>25</w:t>
            </w:r>
            <w:r w:rsidR="00C94851" w:rsidRPr="008C510E">
              <w:rPr>
                <w:sz w:val="20"/>
                <w:szCs w:val="20"/>
              </w:rPr>
              <w:t xml:space="preserve"> days</w:t>
            </w:r>
          </w:p>
        </w:tc>
        <w:tc>
          <w:tcPr>
            <w:tcW w:w="1843" w:type="dxa"/>
          </w:tcPr>
          <w:p w14:paraId="5017E177" w14:textId="3AC3EB11" w:rsidR="00C94851" w:rsidRPr="008C510E" w:rsidRDefault="002471A9" w:rsidP="00BB7573">
            <w:pPr>
              <w:jc w:val="center"/>
              <w:rPr>
                <w:sz w:val="20"/>
                <w:szCs w:val="20"/>
              </w:rPr>
            </w:pPr>
            <w:r>
              <w:rPr>
                <w:sz w:val="20"/>
                <w:szCs w:val="20"/>
              </w:rPr>
              <w:t>2</w:t>
            </w:r>
            <w:r w:rsidR="00FF4498">
              <w:rPr>
                <w:sz w:val="20"/>
                <w:szCs w:val="20"/>
              </w:rPr>
              <w:t>4</w:t>
            </w:r>
            <w:r>
              <w:rPr>
                <w:sz w:val="20"/>
                <w:szCs w:val="20"/>
              </w:rPr>
              <w:t>.5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BB7573">
        <w:tc>
          <w:tcPr>
            <w:tcW w:w="9242"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8C510E">
        <w:tc>
          <w:tcPr>
            <w:tcW w:w="4928"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BB7573">
        <w:tc>
          <w:tcPr>
            <w:tcW w:w="4928"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34" w:type="dxa"/>
          </w:tcPr>
          <w:p w14:paraId="5017E187" w14:textId="77777777" w:rsidR="00C94851" w:rsidRPr="008C510E" w:rsidRDefault="00A3526D" w:rsidP="00C94851">
            <w:pPr>
              <w:jc w:val="center"/>
              <w:rPr>
                <w:sz w:val="20"/>
                <w:szCs w:val="20"/>
              </w:rPr>
            </w:pPr>
            <w:r>
              <w:rPr>
                <w:sz w:val="20"/>
                <w:szCs w:val="20"/>
              </w:rPr>
              <w:t>2</w:t>
            </w:r>
            <w:r w:rsidR="00881852">
              <w:rPr>
                <w:sz w:val="20"/>
                <w:szCs w:val="20"/>
              </w:rPr>
              <w:t>75</w:t>
            </w:r>
            <w:r w:rsidR="00C94851" w:rsidRPr="008C510E">
              <w:rPr>
                <w:sz w:val="20"/>
                <w:szCs w:val="20"/>
              </w:rPr>
              <w:t>%</w:t>
            </w:r>
          </w:p>
        </w:tc>
        <w:tc>
          <w:tcPr>
            <w:tcW w:w="1843" w:type="dxa"/>
          </w:tcPr>
          <w:p w14:paraId="5017E188" w14:textId="52F28C13" w:rsidR="00F64874" w:rsidRPr="008C510E" w:rsidRDefault="008D324A" w:rsidP="00782F5F">
            <w:pPr>
              <w:jc w:val="center"/>
              <w:rPr>
                <w:sz w:val="20"/>
                <w:szCs w:val="20"/>
              </w:rPr>
            </w:pPr>
            <w:r>
              <w:rPr>
                <w:sz w:val="20"/>
                <w:szCs w:val="20"/>
              </w:rPr>
              <w:t>2.70%</w:t>
            </w:r>
          </w:p>
        </w:tc>
        <w:tc>
          <w:tcPr>
            <w:tcW w:w="1337" w:type="dxa"/>
          </w:tcPr>
          <w:p w14:paraId="5017E189" w14:textId="77777777" w:rsidR="00C94851" w:rsidRPr="008C510E" w:rsidRDefault="00607853" w:rsidP="00BB7573">
            <w:pPr>
              <w:jc w:val="center"/>
              <w:rPr>
                <w:sz w:val="20"/>
                <w:szCs w:val="20"/>
              </w:rPr>
            </w:pPr>
            <w:r w:rsidRPr="008C510E">
              <w:rPr>
                <w:rFonts w:ascii="Montserrat" w:hAnsi="Montserrat"/>
                <w:noProof/>
                <w:sz w:val="20"/>
                <w:szCs w:val="20"/>
                <w:lang w:eastAsia="en-GB"/>
              </w:rPr>
              <w:drawing>
                <wp:inline distT="0" distB="0" distL="0" distR="0" wp14:anchorId="5017E1AA" wp14:editId="5017E1AB">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8B" w14:textId="77777777" w:rsidR="000740E0" w:rsidRDefault="000740E0"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B7573">
        <w:tc>
          <w:tcPr>
            <w:tcW w:w="9242"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8C510E">
        <w:tc>
          <w:tcPr>
            <w:tcW w:w="4928"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3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43"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37"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C92353">
        <w:trPr>
          <w:trHeight w:val="555"/>
        </w:trPr>
        <w:tc>
          <w:tcPr>
            <w:tcW w:w="4928"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3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43" w:type="dxa"/>
          </w:tcPr>
          <w:p w14:paraId="5017E195" w14:textId="122DAECF" w:rsidR="00EC03EA" w:rsidRPr="008C510E" w:rsidRDefault="001A5D37" w:rsidP="00DB511E">
            <w:pPr>
              <w:jc w:val="center"/>
              <w:rPr>
                <w:sz w:val="20"/>
                <w:szCs w:val="20"/>
              </w:rPr>
            </w:pPr>
            <w:r>
              <w:rPr>
                <w:sz w:val="20"/>
                <w:szCs w:val="20"/>
              </w:rPr>
              <w:t>74%</w:t>
            </w:r>
          </w:p>
        </w:tc>
        <w:tc>
          <w:tcPr>
            <w:tcW w:w="1337"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E01C50" w:rsidRPr="00EA16CA" w14:paraId="5017E19C" w14:textId="77777777" w:rsidTr="00B5397D">
        <w:trPr>
          <w:trHeight w:val="547"/>
        </w:trPr>
        <w:tc>
          <w:tcPr>
            <w:tcW w:w="4928" w:type="dxa"/>
          </w:tcPr>
          <w:p w14:paraId="5017E198" w14:textId="77777777" w:rsidR="00E01C50" w:rsidRPr="008C510E" w:rsidRDefault="00E01C50" w:rsidP="005B2425">
            <w:pPr>
              <w:rPr>
                <w:sz w:val="20"/>
                <w:szCs w:val="20"/>
              </w:rPr>
            </w:pPr>
            <w:r>
              <w:rPr>
                <w:sz w:val="20"/>
                <w:szCs w:val="20"/>
              </w:rPr>
              <w:t xml:space="preserve">% tenant satisfaction with the Overall Service provided </w:t>
            </w:r>
          </w:p>
        </w:tc>
        <w:tc>
          <w:tcPr>
            <w:tcW w:w="1134" w:type="dxa"/>
          </w:tcPr>
          <w:p w14:paraId="5017E199" w14:textId="77777777" w:rsidR="00E01C50" w:rsidRPr="008C510E" w:rsidRDefault="00E01C50" w:rsidP="005B2425">
            <w:pPr>
              <w:jc w:val="center"/>
              <w:rPr>
                <w:sz w:val="20"/>
                <w:szCs w:val="20"/>
              </w:rPr>
            </w:pPr>
            <w:r>
              <w:rPr>
                <w:sz w:val="20"/>
                <w:szCs w:val="20"/>
              </w:rPr>
              <w:t>92%</w:t>
            </w:r>
          </w:p>
        </w:tc>
        <w:tc>
          <w:tcPr>
            <w:tcW w:w="1843" w:type="dxa"/>
          </w:tcPr>
          <w:p w14:paraId="5017E19A" w14:textId="71745081" w:rsidR="00E01C50" w:rsidRDefault="00C92353" w:rsidP="00DB511E">
            <w:pPr>
              <w:jc w:val="center"/>
              <w:rPr>
                <w:sz w:val="20"/>
                <w:szCs w:val="20"/>
              </w:rPr>
            </w:pPr>
            <w:r>
              <w:rPr>
                <w:sz w:val="20"/>
                <w:szCs w:val="20"/>
              </w:rPr>
              <w:t>93%</w:t>
            </w:r>
          </w:p>
        </w:tc>
        <w:tc>
          <w:tcPr>
            <w:tcW w:w="1337" w:type="dxa"/>
          </w:tcPr>
          <w:p w14:paraId="5017E19B" w14:textId="282954C6" w:rsidR="00E01C50" w:rsidRPr="008C510E" w:rsidRDefault="00C92353" w:rsidP="00BB7573">
            <w:pPr>
              <w:jc w:val="center"/>
              <w:rPr>
                <w:rFonts w:ascii="Montserrat" w:hAnsi="Montserrat"/>
                <w:noProof/>
                <w:sz w:val="20"/>
                <w:szCs w:val="20"/>
                <w:lang w:eastAsia="en-GB"/>
              </w:rPr>
            </w:pPr>
            <w:r w:rsidRPr="008C510E">
              <w:rPr>
                <w:rFonts w:ascii="Montserrat" w:hAnsi="Montserrat"/>
                <w:noProof/>
                <w:sz w:val="20"/>
                <w:szCs w:val="20"/>
                <w:lang w:eastAsia="en-GB"/>
              </w:rPr>
              <w:drawing>
                <wp:inline distT="0" distB="0" distL="0" distR="0" wp14:anchorId="54A5E9D9" wp14:editId="7C091354">
                  <wp:extent cx="2857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3F25CA" w:rsidRPr="00EA16CA" w14:paraId="430D2A0B" w14:textId="77777777" w:rsidTr="0083404F">
        <w:trPr>
          <w:trHeight w:val="1234"/>
        </w:trPr>
        <w:tc>
          <w:tcPr>
            <w:tcW w:w="9242" w:type="dxa"/>
            <w:gridSpan w:val="4"/>
          </w:tcPr>
          <w:p w14:paraId="78D5C7CC" w14:textId="422454B7" w:rsidR="00B5397D"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p>
          <w:p w14:paraId="1E1C69A2" w14:textId="2B4F9BAE" w:rsidR="003F25CA" w:rsidRPr="00C92353" w:rsidRDefault="00B5397D" w:rsidP="003F25CA">
            <w:pPr>
              <w:rPr>
                <w:rFonts w:ascii="Montserrat" w:hAnsi="Montserrat"/>
                <w:bCs/>
                <w:noProof/>
                <w:sz w:val="20"/>
                <w:szCs w:val="20"/>
                <w:lang w:eastAsia="en-GB"/>
              </w:rPr>
            </w:pPr>
            <w:r w:rsidRPr="00B5397D">
              <w:rPr>
                <w:rFonts w:ascii="Montserrat" w:hAnsi="Montserrat"/>
                <w:bCs/>
                <w:noProof/>
                <w:sz w:val="20"/>
                <w:szCs w:val="20"/>
                <w:lang w:eastAsia="en-GB"/>
              </w:rPr>
              <w:t>During April, we continued to see high levels of calls coming into North Star with calls taking longer.  As a result of the pandemic, we also had a backlog of repairs. We have prioritised the most urgent repairs however when calls have been coming in, we had to contact our contractors for an update.  This has impacted our performance.</w:t>
            </w: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39A5"/>
    <w:rsid w:val="00045178"/>
    <w:rsid w:val="0005114F"/>
    <w:rsid w:val="00065076"/>
    <w:rsid w:val="0006799F"/>
    <w:rsid w:val="000740E0"/>
    <w:rsid w:val="000758BE"/>
    <w:rsid w:val="00085880"/>
    <w:rsid w:val="00096C62"/>
    <w:rsid w:val="000A0F28"/>
    <w:rsid w:val="000A1E9F"/>
    <w:rsid w:val="000C31D6"/>
    <w:rsid w:val="000D2C99"/>
    <w:rsid w:val="000D3E20"/>
    <w:rsid w:val="000E4C13"/>
    <w:rsid w:val="000F2036"/>
    <w:rsid w:val="00103D9E"/>
    <w:rsid w:val="00115C6D"/>
    <w:rsid w:val="00127ED0"/>
    <w:rsid w:val="00130F33"/>
    <w:rsid w:val="00131D48"/>
    <w:rsid w:val="0014705C"/>
    <w:rsid w:val="001A5D37"/>
    <w:rsid w:val="001A667D"/>
    <w:rsid w:val="001C0E75"/>
    <w:rsid w:val="001D3BBC"/>
    <w:rsid w:val="001E1677"/>
    <w:rsid w:val="001F12E2"/>
    <w:rsid w:val="001F7163"/>
    <w:rsid w:val="00202C06"/>
    <w:rsid w:val="002040EA"/>
    <w:rsid w:val="002141C2"/>
    <w:rsid w:val="00227401"/>
    <w:rsid w:val="002471A9"/>
    <w:rsid w:val="00247299"/>
    <w:rsid w:val="002515A7"/>
    <w:rsid w:val="002A32AA"/>
    <w:rsid w:val="002C3FF2"/>
    <w:rsid w:val="002C425F"/>
    <w:rsid w:val="002C531D"/>
    <w:rsid w:val="002F17BF"/>
    <w:rsid w:val="00303464"/>
    <w:rsid w:val="00305500"/>
    <w:rsid w:val="00305A87"/>
    <w:rsid w:val="00321937"/>
    <w:rsid w:val="00325F34"/>
    <w:rsid w:val="00326139"/>
    <w:rsid w:val="003277D7"/>
    <w:rsid w:val="0033230F"/>
    <w:rsid w:val="00347B82"/>
    <w:rsid w:val="003545FB"/>
    <w:rsid w:val="00372E0D"/>
    <w:rsid w:val="0037604A"/>
    <w:rsid w:val="00385E5C"/>
    <w:rsid w:val="003A6C51"/>
    <w:rsid w:val="003D1809"/>
    <w:rsid w:val="003E08F4"/>
    <w:rsid w:val="003E1183"/>
    <w:rsid w:val="003E1C01"/>
    <w:rsid w:val="003E401B"/>
    <w:rsid w:val="003F25CA"/>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7807"/>
    <w:rsid w:val="00567DBD"/>
    <w:rsid w:val="00573E33"/>
    <w:rsid w:val="0058497F"/>
    <w:rsid w:val="00597F2C"/>
    <w:rsid w:val="005C08BF"/>
    <w:rsid w:val="005C3CE5"/>
    <w:rsid w:val="005D6B5D"/>
    <w:rsid w:val="005D7566"/>
    <w:rsid w:val="005E38B9"/>
    <w:rsid w:val="005F2BE2"/>
    <w:rsid w:val="005F3EDA"/>
    <w:rsid w:val="006041D2"/>
    <w:rsid w:val="00607853"/>
    <w:rsid w:val="00610525"/>
    <w:rsid w:val="0061279B"/>
    <w:rsid w:val="006207DC"/>
    <w:rsid w:val="006227FC"/>
    <w:rsid w:val="006449AA"/>
    <w:rsid w:val="00651B6F"/>
    <w:rsid w:val="00671538"/>
    <w:rsid w:val="006A7CC6"/>
    <w:rsid w:val="006C063C"/>
    <w:rsid w:val="006C2F67"/>
    <w:rsid w:val="006C5538"/>
    <w:rsid w:val="006D2EC9"/>
    <w:rsid w:val="006E5DF1"/>
    <w:rsid w:val="006F383E"/>
    <w:rsid w:val="00705C30"/>
    <w:rsid w:val="007076EB"/>
    <w:rsid w:val="00711EA2"/>
    <w:rsid w:val="00714C1C"/>
    <w:rsid w:val="0072099B"/>
    <w:rsid w:val="007266EE"/>
    <w:rsid w:val="00733BE4"/>
    <w:rsid w:val="007379D0"/>
    <w:rsid w:val="0075126B"/>
    <w:rsid w:val="00772843"/>
    <w:rsid w:val="00782E40"/>
    <w:rsid w:val="00782F5F"/>
    <w:rsid w:val="0079099F"/>
    <w:rsid w:val="007A23E0"/>
    <w:rsid w:val="007A5255"/>
    <w:rsid w:val="007C35A2"/>
    <w:rsid w:val="007C5FDF"/>
    <w:rsid w:val="007D6332"/>
    <w:rsid w:val="007D7A4F"/>
    <w:rsid w:val="007E307C"/>
    <w:rsid w:val="008041F0"/>
    <w:rsid w:val="00810371"/>
    <w:rsid w:val="0081190A"/>
    <w:rsid w:val="0083272A"/>
    <w:rsid w:val="0083404F"/>
    <w:rsid w:val="008440B7"/>
    <w:rsid w:val="0084551C"/>
    <w:rsid w:val="00846C7D"/>
    <w:rsid w:val="00850450"/>
    <w:rsid w:val="0085729E"/>
    <w:rsid w:val="008608A7"/>
    <w:rsid w:val="00867BC7"/>
    <w:rsid w:val="00881852"/>
    <w:rsid w:val="00883A21"/>
    <w:rsid w:val="00894C2D"/>
    <w:rsid w:val="00896947"/>
    <w:rsid w:val="008A2E15"/>
    <w:rsid w:val="008B429E"/>
    <w:rsid w:val="008B5547"/>
    <w:rsid w:val="008C510E"/>
    <w:rsid w:val="008D324A"/>
    <w:rsid w:val="008E1A71"/>
    <w:rsid w:val="008F5AAA"/>
    <w:rsid w:val="00904DFD"/>
    <w:rsid w:val="009178FC"/>
    <w:rsid w:val="009179CA"/>
    <w:rsid w:val="00921481"/>
    <w:rsid w:val="00951C45"/>
    <w:rsid w:val="0095450B"/>
    <w:rsid w:val="009600C0"/>
    <w:rsid w:val="009A769B"/>
    <w:rsid w:val="009B6CB0"/>
    <w:rsid w:val="009E06BA"/>
    <w:rsid w:val="009F338B"/>
    <w:rsid w:val="00A329AE"/>
    <w:rsid w:val="00A3526D"/>
    <w:rsid w:val="00A44BA3"/>
    <w:rsid w:val="00A62763"/>
    <w:rsid w:val="00A6334C"/>
    <w:rsid w:val="00A64F4B"/>
    <w:rsid w:val="00A76D69"/>
    <w:rsid w:val="00A91F2A"/>
    <w:rsid w:val="00A97C99"/>
    <w:rsid w:val="00AA4FB1"/>
    <w:rsid w:val="00AC44F9"/>
    <w:rsid w:val="00AD5461"/>
    <w:rsid w:val="00AD5B17"/>
    <w:rsid w:val="00AD6341"/>
    <w:rsid w:val="00AE580B"/>
    <w:rsid w:val="00B048DD"/>
    <w:rsid w:val="00B13040"/>
    <w:rsid w:val="00B1401B"/>
    <w:rsid w:val="00B16847"/>
    <w:rsid w:val="00B20C4C"/>
    <w:rsid w:val="00B318EF"/>
    <w:rsid w:val="00B34F30"/>
    <w:rsid w:val="00B3613D"/>
    <w:rsid w:val="00B51059"/>
    <w:rsid w:val="00B5397D"/>
    <w:rsid w:val="00B66562"/>
    <w:rsid w:val="00B70ECD"/>
    <w:rsid w:val="00B7613C"/>
    <w:rsid w:val="00B83349"/>
    <w:rsid w:val="00B9226F"/>
    <w:rsid w:val="00BB7573"/>
    <w:rsid w:val="00BC5123"/>
    <w:rsid w:val="00BD618B"/>
    <w:rsid w:val="00C02C62"/>
    <w:rsid w:val="00C14757"/>
    <w:rsid w:val="00C30203"/>
    <w:rsid w:val="00C456A0"/>
    <w:rsid w:val="00C52F19"/>
    <w:rsid w:val="00C55A4C"/>
    <w:rsid w:val="00C703A7"/>
    <w:rsid w:val="00C72BED"/>
    <w:rsid w:val="00C86461"/>
    <w:rsid w:val="00C878D8"/>
    <w:rsid w:val="00C91AD9"/>
    <w:rsid w:val="00C92353"/>
    <w:rsid w:val="00C94851"/>
    <w:rsid w:val="00C95C2D"/>
    <w:rsid w:val="00CC4835"/>
    <w:rsid w:val="00CE4A26"/>
    <w:rsid w:val="00CF6EC2"/>
    <w:rsid w:val="00D01FFA"/>
    <w:rsid w:val="00D163AC"/>
    <w:rsid w:val="00D32B4F"/>
    <w:rsid w:val="00D45E84"/>
    <w:rsid w:val="00D610DC"/>
    <w:rsid w:val="00D71353"/>
    <w:rsid w:val="00DA7D06"/>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744E"/>
    <w:rsid w:val="00E71C72"/>
    <w:rsid w:val="00EA16CA"/>
    <w:rsid w:val="00EC03EA"/>
    <w:rsid w:val="00EC3498"/>
    <w:rsid w:val="00EC4DFE"/>
    <w:rsid w:val="00EF67B2"/>
    <w:rsid w:val="00F105C8"/>
    <w:rsid w:val="00F13A90"/>
    <w:rsid w:val="00F6005D"/>
    <w:rsid w:val="00F62A28"/>
    <w:rsid w:val="00F64874"/>
    <w:rsid w:val="00F717D7"/>
    <w:rsid w:val="00F85CAC"/>
    <w:rsid w:val="00FC131F"/>
    <w:rsid w:val="00FC4C3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Nicola Barratt</cp:lastModifiedBy>
  <cp:revision>2</cp:revision>
  <cp:lastPrinted>2020-01-31T14:24:00Z</cp:lastPrinted>
  <dcterms:created xsi:type="dcterms:W3CDTF">2021-06-07T14:50:00Z</dcterms:created>
  <dcterms:modified xsi:type="dcterms:W3CDTF">2021-06-07T14:50:00Z</dcterms:modified>
</cp:coreProperties>
</file>