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2223955"/>
        <w:docPartObj>
          <w:docPartGallery w:val="Cover Pages"/>
          <w:docPartUnique/>
        </w:docPartObj>
      </w:sdtPr>
      <w:sdtEndPr/>
      <w:sdtContent>
        <w:p w:rsidR="00E54F30" w:rsidRDefault="00E54F30"/>
        <w:p w:rsidR="00E54F30" w:rsidRDefault="00E54F30"/>
        <w:p w:rsidR="008A0FBD" w:rsidRDefault="00E54F30">
          <w:pPr>
            <w:spacing w:after="0" w:line="240" w:lineRule="auto"/>
          </w:pPr>
          <w:r>
            <w:rPr>
              <w:noProof/>
              <w:lang w:eastAsia="en-GB"/>
            </w:rPr>
            <w:drawing>
              <wp:inline distT="0" distB="0" distL="0" distR="0" wp14:anchorId="1D6BAA7C" wp14:editId="46781FA7">
                <wp:extent cx="5731510" cy="1147178"/>
                <wp:effectExtent l="0" t="0" r="2540" b="0"/>
                <wp:docPr id="2" name="Picture 2" descr="J:\PR &amp; COMMUNICATIONS\Logos &amp; Graphics\New North Star Brand Logos\Logos\North-Star-logo-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R &amp; COMMUNICATIONS\Logos &amp; Graphics\New North Star Brand Logos\Logos\North-Star-logo-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1147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0FBD" w:rsidRDefault="008A0FBD">
          <w:pPr>
            <w:spacing w:after="0" w:line="240" w:lineRule="auto"/>
          </w:pPr>
        </w:p>
        <w:p w:rsidR="008A0FBD" w:rsidRDefault="008A0FBD">
          <w:pPr>
            <w:spacing w:after="0" w:line="240" w:lineRule="auto"/>
          </w:pPr>
        </w:p>
        <w:p w:rsidR="008A0FBD" w:rsidRPr="006B6F2B" w:rsidRDefault="008C5694">
          <w:pPr>
            <w:spacing w:after="0" w:line="240" w:lineRule="auto"/>
            <w:rPr>
              <w:rFonts w:ascii="Montserrat" w:hAnsi="Montserrat"/>
              <w:sz w:val="44"/>
              <w:szCs w:val="44"/>
            </w:rPr>
          </w:pPr>
          <w:r>
            <w:rPr>
              <w:rFonts w:ascii="Montserrat" w:hAnsi="Montserrat"/>
              <w:sz w:val="44"/>
              <w:szCs w:val="44"/>
            </w:rPr>
            <w:t xml:space="preserve">The North Star Standard </w:t>
          </w:r>
          <w:bookmarkStart w:id="0" w:name="_GoBack"/>
          <w:bookmarkEnd w:id="0"/>
        </w:p>
        <w:p w:rsidR="008A0FBD" w:rsidRDefault="008A0FBD">
          <w:pPr>
            <w:spacing w:after="0" w:line="240" w:lineRule="auto"/>
          </w:pPr>
        </w:p>
        <w:p w:rsidR="00BF066A" w:rsidRPr="0043147F" w:rsidRDefault="00BF066A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  <w:r w:rsidRPr="0043147F">
            <w:rPr>
              <w:rFonts w:ascii="Montserrat" w:hAnsi="Montserrat"/>
              <w:sz w:val="20"/>
              <w:szCs w:val="20"/>
            </w:rPr>
            <w:t xml:space="preserve">The North Star Standard </w:t>
          </w:r>
          <w:r w:rsidR="001469AE" w:rsidRPr="0043147F">
            <w:rPr>
              <w:rFonts w:ascii="Montserrat" w:hAnsi="Montserrat"/>
              <w:sz w:val="20"/>
              <w:szCs w:val="20"/>
            </w:rPr>
            <w:t xml:space="preserve">has been agreed with our </w:t>
          </w:r>
          <w:r w:rsidR="00D33869">
            <w:rPr>
              <w:rFonts w:ascii="Montserrat" w:hAnsi="Montserrat"/>
              <w:sz w:val="20"/>
              <w:szCs w:val="20"/>
            </w:rPr>
            <w:t>North Star LINK tenant</w:t>
          </w:r>
          <w:r w:rsidR="00DC7931">
            <w:rPr>
              <w:rFonts w:ascii="Montserrat" w:hAnsi="Montserrat"/>
              <w:sz w:val="20"/>
              <w:szCs w:val="20"/>
            </w:rPr>
            <w:t xml:space="preserve"> panel</w:t>
          </w:r>
          <w:r w:rsidR="001469AE" w:rsidRPr="0043147F">
            <w:rPr>
              <w:rFonts w:ascii="Montserrat" w:hAnsi="Montserrat"/>
              <w:sz w:val="20"/>
              <w:szCs w:val="20"/>
            </w:rPr>
            <w:t xml:space="preserve"> and is used to ensure that our properties are properly maintained with kitchens, bathrooms, doors,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 heating, electrical wiring,</w:t>
          </w:r>
          <w:r w:rsidR="001469AE" w:rsidRPr="0043147F">
            <w:rPr>
              <w:rFonts w:ascii="Montserrat" w:hAnsi="Montserrat"/>
              <w:sz w:val="20"/>
              <w:szCs w:val="20"/>
            </w:rPr>
            <w:t xml:space="preserve"> windows and other key components being replaced using agreed criteria. Our Standard is set at above the Government’s Decent Homes Standard.</w:t>
          </w:r>
        </w:p>
        <w:p w:rsidR="00BF066A" w:rsidRPr="0043147F" w:rsidRDefault="00BF066A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</w:p>
        <w:p w:rsidR="00BF066A" w:rsidRPr="0043147F" w:rsidRDefault="00BF066A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  <w:r w:rsidRPr="0043147F">
            <w:rPr>
              <w:rFonts w:ascii="Montserrat" w:hAnsi="Montserrat"/>
              <w:sz w:val="20"/>
              <w:szCs w:val="20"/>
            </w:rPr>
            <w:t xml:space="preserve">We have a rolling programme of stock condition surveys during which we gather information relating to the age and condition of components in our properties. </w:t>
          </w:r>
          <w:r w:rsidR="001469AE" w:rsidRPr="0043147F">
            <w:rPr>
              <w:rFonts w:ascii="Montserrat" w:hAnsi="Montserrat"/>
              <w:sz w:val="20"/>
              <w:szCs w:val="20"/>
            </w:rPr>
            <w:t>Other factors such as Health and Safety, design and suitability of use are also considered.</w:t>
          </w:r>
        </w:p>
        <w:p w:rsidR="00BF066A" w:rsidRPr="0043147F" w:rsidRDefault="00BF066A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</w:p>
        <w:p w:rsidR="00BF066A" w:rsidRPr="0043147F" w:rsidRDefault="00BF066A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  <w:r w:rsidRPr="0043147F">
            <w:rPr>
              <w:rFonts w:ascii="Montserrat" w:hAnsi="Montserrat"/>
              <w:sz w:val="20"/>
              <w:szCs w:val="20"/>
            </w:rPr>
            <w:t>Using the information gathered during our stock condition surveys</w:t>
          </w:r>
          <w:r w:rsidR="00952683">
            <w:rPr>
              <w:rFonts w:ascii="Montserrat" w:hAnsi="Montserrat"/>
              <w:sz w:val="20"/>
              <w:szCs w:val="20"/>
            </w:rPr>
            <w:t>,</w:t>
          </w:r>
          <w:r w:rsidRPr="0043147F">
            <w:rPr>
              <w:rFonts w:ascii="Montserrat" w:hAnsi="Montserrat"/>
              <w:sz w:val="20"/>
              <w:szCs w:val="20"/>
            </w:rPr>
            <w:t xml:space="preserve"> we have a planned maintenance programme during which we carry out work in accordance with the North Star Standard.</w:t>
          </w:r>
        </w:p>
        <w:p w:rsidR="001469AE" w:rsidRDefault="001469AE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  <w:r w:rsidRPr="0043147F">
            <w:rPr>
              <w:rFonts w:ascii="Montserrat" w:hAnsi="Montserrat"/>
              <w:sz w:val="20"/>
              <w:szCs w:val="20"/>
            </w:rPr>
            <w:t>The collection of information and setting of programme are the responsibility of our Asset Management Team.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 If </w:t>
          </w:r>
          <w:r w:rsidR="00044437">
            <w:rPr>
              <w:rFonts w:ascii="Montserrat" w:hAnsi="Montserrat"/>
              <w:sz w:val="20"/>
              <w:szCs w:val="20"/>
            </w:rPr>
            <w:t>tenants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 wish to know the planned maintenance programme for </w:t>
          </w:r>
          <w:r w:rsidR="00044437">
            <w:rPr>
              <w:rFonts w:ascii="Montserrat" w:hAnsi="Montserrat"/>
              <w:sz w:val="20"/>
              <w:szCs w:val="20"/>
            </w:rPr>
            <w:t>thei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r property </w:t>
          </w:r>
          <w:r w:rsidR="00044437">
            <w:rPr>
              <w:rFonts w:ascii="Montserrat" w:hAnsi="Montserrat"/>
              <w:sz w:val="20"/>
              <w:szCs w:val="20"/>
            </w:rPr>
            <w:t>they should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 contact the Asset Management Team. They will either advise of potential work in </w:t>
          </w:r>
          <w:r w:rsidR="00044437">
            <w:rPr>
              <w:rFonts w:ascii="Montserrat" w:hAnsi="Montserrat"/>
              <w:sz w:val="20"/>
              <w:szCs w:val="20"/>
            </w:rPr>
            <w:t>the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 property or, if required, will organise a stock condition survey to gather the necessary information.</w:t>
          </w:r>
        </w:p>
        <w:p w:rsidR="0043147F" w:rsidRPr="0043147F" w:rsidRDefault="0043147F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</w:p>
        <w:p w:rsidR="00BF066A" w:rsidRPr="0043147F" w:rsidRDefault="00BF066A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</w:p>
        <w:p w:rsidR="00BF066A" w:rsidRPr="0043147F" w:rsidRDefault="00BF066A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  <w:r w:rsidRPr="0043147F">
            <w:rPr>
              <w:rFonts w:ascii="Montserrat" w:hAnsi="Montserrat"/>
              <w:sz w:val="20"/>
              <w:szCs w:val="20"/>
            </w:rPr>
            <w:t xml:space="preserve">It is 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therefore </w:t>
          </w:r>
          <w:r w:rsidRPr="0043147F">
            <w:rPr>
              <w:rFonts w:ascii="Montserrat" w:hAnsi="Montserrat"/>
              <w:sz w:val="20"/>
              <w:szCs w:val="20"/>
            </w:rPr>
            <w:t xml:space="preserve">important that </w:t>
          </w:r>
          <w:r w:rsidR="00BC0ECE">
            <w:rPr>
              <w:rFonts w:ascii="Montserrat" w:hAnsi="Montserrat"/>
              <w:sz w:val="20"/>
              <w:szCs w:val="20"/>
            </w:rPr>
            <w:t>tenants</w:t>
          </w:r>
          <w:r w:rsidRPr="0043147F">
            <w:rPr>
              <w:rFonts w:ascii="Montserrat" w:hAnsi="Montserrat"/>
              <w:sz w:val="20"/>
              <w:szCs w:val="20"/>
            </w:rPr>
            <w:t xml:space="preserve"> allow access for 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stock condition surveys and also remember to contact the Asset Management Team before </w:t>
          </w:r>
          <w:r w:rsidR="00BC0ECE">
            <w:rPr>
              <w:rFonts w:ascii="Montserrat" w:hAnsi="Montserrat"/>
              <w:sz w:val="20"/>
              <w:szCs w:val="20"/>
            </w:rPr>
            <w:t>they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 carry out any decoration, carpeting or other work to ensure that any </w:t>
          </w:r>
          <w:r w:rsidR="00044437">
            <w:rPr>
              <w:rFonts w:ascii="Montserrat" w:hAnsi="Montserrat"/>
              <w:sz w:val="20"/>
              <w:szCs w:val="20"/>
            </w:rPr>
            <w:t xml:space="preserve">North Star </w:t>
          </w:r>
          <w:r w:rsidR="00DB7114" w:rsidRPr="0043147F">
            <w:rPr>
              <w:rFonts w:ascii="Montserrat" w:hAnsi="Montserrat"/>
              <w:sz w:val="20"/>
              <w:szCs w:val="20"/>
            </w:rPr>
            <w:t>pla</w:t>
          </w:r>
          <w:r w:rsidR="00BC0ECE">
            <w:rPr>
              <w:rFonts w:ascii="Montserrat" w:hAnsi="Montserrat"/>
              <w:sz w:val="20"/>
              <w:szCs w:val="20"/>
            </w:rPr>
            <w:t>nned works will not impact upon,</w:t>
          </w:r>
          <w:r w:rsidR="00DB7114" w:rsidRPr="0043147F">
            <w:rPr>
              <w:rFonts w:ascii="Montserrat" w:hAnsi="Montserrat"/>
              <w:sz w:val="20"/>
              <w:szCs w:val="20"/>
            </w:rPr>
            <w:t xml:space="preserve"> or</w:t>
          </w:r>
          <w:r w:rsidR="006B6F2B" w:rsidRPr="0043147F">
            <w:rPr>
              <w:rFonts w:ascii="Montserrat" w:hAnsi="Montserrat"/>
              <w:sz w:val="20"/>
              <w:szCs w:val="20"/>
            </w:rPr>
            <w:t xml:space="preserve"> disrupt</w:t>
          </w:r>
          <w:r w:rsidR="00044437">
            <w:rPr>
              <w:rFonts w:ascii="Montserrat" w:hAnsi="Montserrat"/>
              <w:sz w:val="20"/>
              <w:szCs w:val="20"/>
            </w:rPr>
            <w:t>,</w:t>
          </w:r>
          <w:r w:rsidR="006B6F2B" w:rsidRPr="0043147F">
            <w:rPr>
              <w:rFonts w:ascii="Montserrat" w:hAnsi="Montserrat"/>
              <w:sz w:val="20"/>
              <w:szCs w:val="20"/>
            </w:rPr>
            <w:t xml:space="preserve"> any new work</w:t>
          </w:r>
          <w:r w:rsidR="00044437">
            <w:rPr>
              <w:rFonts w:ascii="Montserrat" w:hAnsi="Montserrat"/>
              <w:sz w:val="20"/>
              <w:szCs w:val="20"/>
            </w:rPr>
            <w:t xml:space="preserve"> by the tenant</w:t>
          </w:r>
          <w:r w:rsidR="006B6F2B" w:rsidRPr="0043147F">
            <w:rPr>
              <w:rFonts w:ascii="Montserrat" w:hAnsi="Montserrat"/>
              <w:sz w:val="20"/>
              <w:szCs w:val="20"/>
            </w:rPr>
            <w:t xml:space="preserve">. </w:t>
          </w:r>
        </w:p>
        <w:p w:rsidR="006B6F2B" w:rsidRPr="0043147F" w:rsidRDefault="006B6F2B">
          <w:pPr>
            <w:spacing w:after="0" w:line="240" w:lineRule="auto"/>
            <w:rPr>
              <w:rFonts w:ascii="Montserrat" w:hAnsi="Montserrat"/>
              <w:sz w:val="20"/>
              <w:szCs w:val="20"/>
            </w:rPr>
          </w:pPr>
        </w:p>
        <w:p w:rsidR="00BF066A" w:rsidRPr="0043147F" w:rsidRDefault="006B6F2B">
          <w:pPr>
            <w:spacing w:after="0" w:line="240" w:lineRule="auto"/>
            <w:rPr>
              <w:rFonts w:ascii="Akzidenz Grotesk" w:hAnsi="Akzidenz Grotesk"/>
              <w:sz w:val="20"/>
              <w:szCs w:val="20"/>
            </w:rPr>
          </w:pPr>
          <w:r w:rsidRPr="0043147F">
            <w:rPr>
              <w:rFonts w:ascii="Montserrat" w:hAnsi="Montserrat"/>
              <w:sz w:val="20"/>
              <w:szCs w:val="20"/>
            </w:rPr>
            <w:t xml:space="preserve">The schedule below shows the extent of planned maintenance works. If work is planned at </w:t>
          </w:r>
          <w:r w:rsidR="00044437">
            <w:rPr>
              <w:rFonts w:ascii="Montserrat" w:hAnsi="Montserrat"/>
              <w:sz w:val="20"/>
              <w:szCs w:val="20"/>
            </w:rPr>
            <w:t>a</w:t>
          </w:r>
          <w:r w:rsidRPr="0043147F">
            <w:rPr>
              <w:rFonts w:ascii="Montserrat" w:hAnsi="Montserrat"/>
              <w:sz w:val="20"/>
              <w:szCs w:val="20"/>
            </w:rPr>
            <w:t xml:space="preserve"> property </w:t>
          </w:r>
          <w:r w:rsidR="00044437">
            <w:rPr>
              <w:rFonts w:ascii="Montserrat" w:hAnsi="Montserrat"/>
              <w:sz w:val="20"/>
              <w:szCs w:val="20"/>
            </w:rPr>
            <w:t>the tenant</w:t>
          </w:r>
          <w:r w:rsidRPr="0043147F">
            <w:rPr>
              <w:rFonts w:ascii="Montserrat" w:hAnsi="Montserrat"/>
              <w:sz w:val="20"/>
              <w:szCs w:val="20"/>
            </w:rPr>
            <w:t xml:space="preserve"> will receive further information in line with </w:t>
          </w:r>
          <w:r w:rsidR="00281F9D" w:rsidRPr="0043147F">
            <w:rPr>
              <w:rFonts w:ascii="Montserrat" w:hAnsi="Montserrat"/>
              <w:sz w:val="20"/>
              <w:szCs w:val="20"/>
            </w:rPr>
            <w:t>the actual scope of work.</w:t>
          </w:r>
        </w:p>
        <w:p w:rsidR="00E54F30" w:rsidRDefault="00E54F30">
          <w:pPr>
            <w:spacing w:after="0" w:line="240" w:lineRule="auto"/>
          </w:pPr>
          <w:r>
            <w:br w:type="page"/>
          </w:r>
          <w:r>
            <w:rPr>
              <w:noProof/>
              <w:lang w:eastAsia="en-GB"/>
            </w:rPr>
            <w:lastRenderedPageBreak/>
            <w:drawing>
              <wp:inline distT="0" distB="0" distL="0" distR="0" wp14:anchorId="1D6BAA7C" wp14:editId="46781FA7">
                <wp:extent cx="5731510" cy="1147178"/>
                <wp:effectExtent l="0" t="0" r="2540" b="0"/>
                <wp:docPr id="1" name="Picture 1" descr="J:\PR &amp; COMMUNICATIONS\Logos &amp; Graphics\New North Star Brand Logos\Logos\North-Star-logo-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R &amp; COMMUNICATIONS\Logos &amp; Graphics\New North Star Brand Logos\Logos\North-Star-logo-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1147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54F30" w:rsidRPr="006B4DCC" w:rsidRDefault="00E54F30">
      <w:pPr>
        <w:rPr>
          <w:rFonts w:ascii="Montserrat" w:hAnsi="Montserrat"/>
        </w:rPr>
      </w:pPr>
      <w:r w:rsidRPr="006B4DCC">
        <w:rPr>
          <w:rFonts w:ascii="Montserrat" w:hAnsi="Montserrat" w:cs="Arial"/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5791E" wp14:editId="5B6426C6">
                <wp:simplePos x="0" y="0"/>
                <wp:positionH relativeFrom="column">
                  <wp:posOffset>-228601</wp:posOffset>
                </wp:positionH>
                <wp:positionV relativeFrom="paragraph">
                  <wp:posOffset>-128270</wp:posOffset>
                </wp:positionV>
                <wp:extent cx="4238625" cy="647700"/>
                <wp:effectExtent l="0" t="0" r="952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931" w:rsidRPr="00315102" w:rsidRDefault="00DC7931">
                            <w:pPr>
                              <w:rPr>
                                <w:rFonts w:ascii="Montserrat" w:hAnsi="Montserrat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15102">
                              <w:rPr>
                                <w:rFonts w:ascii="Montserrat" w:hAnsi="Montserrat" w:cs="Arial"/>
                                <w:b/>
                                <w:sz w:val="44"/>
                                <w:szCs w:val="44"/>
                              </w:rPr>
                              <w:t>North Star Standard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8pt;margin-top:-10.1pt;width:333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Sg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" stroked="f">
                <v:textbox>
                  <w:txbxContent>
                    <w:p w:rsidR="00DC7931" w:rsidRPr="00315102" w:rsidRDefault="00DC7931">
                      <w:pPr>
                        <w:rPr>
                          <w:rFonts w:ascii="Montserrat" w:hAnsi="Montserrat" w:cs="Arial"/>
                          <w:b/>
                          <w:sz w:val="44"/>
                          <w:szCs w:val="44"/>
                        </w:rPr>
                      </w:pPr>
                      <w:r w:rsidRPr="00315102">
                        <w:rPr>
                          <w:rFonts w:ascii="Montserrat" w:hAnsi="Montserrat" w:cs="Arial"/>
                          <w:b/>
                          <w:sz w:val="44"/>
                          <w:szCs w:val="44"/>
                        </w:rPr>
                        <w:t>North Star Standard 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66"/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3780"/>
        <w:gridCol w:w="6504"/>
      </w:tblGrid>
      <w:tr w:rsidR="009343F2" w:rsidRPr="006B4DCC" w:rsidTr="00473E78">
        <w:trPr>
          <w:trHeight w:val="709"/>
        </w:trPr>
        <w:tc>
          <w:tcPr>
            <w:tcW w:w="1908" w:type="dxa"/>
            <w:shd w:val="clear" w:color="auto" w:fill="3366FF"/>
          </w:tcPr>
          <w:p w:rsidR="009343F2" w:rsidRPr="006B4DCC" w:rsidRDefault="000553D8" w:rsidP="00473E78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306096" wp14:editId="56F61F20">
                      <wp:simplePos x="0" y="0"/>
                      <wp:positionH relativeFrom="column">
                        <wp:posOffset>7452360</wp:posOffset>
                      </wp:positionH>
                      <wp:positionV relativeFrom="paragraph">
                        <wp:posOffset>-683895</wp:posOffset>
                      </wp:positionV>
                      <wp:extent cx="2057400" cy="342900"/>
                      <wp:effectExtent l="3810" t="1905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931" w:rsidRPr="007E544E" w:rsidRDefault="00DC7931" w:rsidP="00C459E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586.8pt;margin-top:-53.8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JG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" stroked="f">
                      <v:textbox>
                        <w:txbxContent>
                          <w:p w:rsidR="00DC7931" w:rsidRPr="007E544E" w:rsidRDefault="00DC7931" w:rsidP="00C459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3F2" w:rsidRPr="006B4DCC">
              <w:rPr>
                <w:rFonts w:ascii="Montserrat" w:hAnsi="Montserrat" w:cs="Arial"/>
                <w:color w:val="FFFFFF"/>
              </w:rPr>
              <w:t>Element</w:t>
            </w:r>
          </w:p>
        </w:tc>
        <w:tc>
          <w:tcPr>
            <w:tcW w:w="3060" w:type="dxa"/>
            <w:shd w:val="clear" w:color="auto" w:fill="3366FF"/>
          </w:tcPr>
          <w:p w:rsidR="009343F2" w:rsidRPr="006B4DCC" w:rsidRDefault="008D57A8" w:rsidP="00473E78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 xml:space="preserve">Nominal </w:t>
            </w:r>
            <w:r w:rsidR="009343F2" w:rsidRPr="006B4DCC">
              <w:rPr>
                <w:rFonts w:ascii="Montserrat" w:hAnsi="Montserrat" w:cs="Arial"/>
                <w:color w:val="FFFFFF"/>
              </w:rPr>
              <w:t>Lifecycle</w:t>
            </w:r>
          </w:p>
        </w:tc>
        <w:tc>
          <w:tcPr>
            <w:tcW w:w="3780" w:type="dxa"/>
            <w:shd w:val="clear" w:color="auto" w:fill="3366FF"/>
          </w:tcPr>
          <w:p w:rsidR="009343F2" w:rsidRPr="006B4DCC" w:rsidRDefault="009343F2" w:rsidP="00473E78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 xml:space="preserve">Replacement Criteria </w:t>
            </w:r>
          </w:p>
        </w:tc>
        <w:tc>
          <w:tcPr>
            <w:tcW w:w="6504" w:type="dxa"/>
            <w:shd w:val="clear" w:color="auto" w:fill="3366FF"/>
          </w:tcPr>
          <w:p w:rsidR="009343F2" w:rsidRPr="006B4DCC" w:rsidRDefault="009343F2" w:rsidP="00473E78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Specification</w:t>
            </w:r>
          </w:p>
        </w:tc>
      </w:tr>
      <w:tr w:rsidR="009343F2" w:rsidRPr="006B4DCC" w:rsidTr="00473E78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Kitchen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Kitchen replaced every 20 years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End of life cycle </w:t>
            </w:r>
            <w:r w:rsidR="008D57A8" w:rsidRPr="006B4DCC">
              <w:rPr>
                <w:rFonts w:ascii="Montserrat" w:hAnsi="Montserrat" w:cs="Arial"/>
              </w:rPr>
              <w:t xml:space="preserve">approximately </w:t>
            </w:r>
            <w:r w:rsidRPr="006B4DCC">
              <w:rPr>
                <w:rFonts w:ascii="Montserrat" w:hAnsi="Montserrat" w:cs="Arial"/>
              </w:rPr>
              <w:t>20 years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Uneconomical to repair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Does not provide adequate storage 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Poor or unsafe design/layout </w:t>
            </w:r>
          </w:p>
        </w:tc>
        <w:tc>
          <w:tcPr>
            <w:tcW w:w="6504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Removal of pantry/cupboard (if required, option offered to tenant)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Tenant</w:t>
            </w:r>
            <w:r w:rsidR="00CB226E" w:rsidRPr="006B4DCC">
              <w:rPr>
                <w:rFonts w:ascii="Montserrat" w:hAnsi="Montserrat" w:cs="Arial"/>
              </w:rPr>
              <w:t>’</w:t>
            </w:r>
            <w:r w:rsidRPr="006B4DCC">
              <w:rPr>
                <w:rFonts w:ascii="Montserrat" w:hAnsi="Montserrat" w:cs="Arial"/>
              </w:rPr>
              <w:t>s choice kitchen doors, handles, worktop and kitchen</w:t>
            </w:r>
            <w:r w:rsidR="009567A1">
              <w:rPr>
                <w:rFonts w:ascii="Montserrat" w:hAnsi="Montserrat" w:cs="Arial"/>
              </w:rPr>
              <w:t xml:space="preserve"> </w:t>
            </w:r>
            <w:r w:rsidRPr="006B4DCC">
              <w:rPr>
                <w:rFonts w:ascii="Montserrat" w:hAnsi="Montserrat" w:cs="Arial"/>
              </w:rPr>
              <w:t>designed around tenants white goods</w:t>
            </w:r>
            <w:r w:rsidR="00CB226E" w:rsidRPr="006B4DCC">
              <w:rPr>
                <w:rFonts w:ascii="Montserrat" w:hAnsi="Montserrat" w:cs="Arial"/>
              </w:rPr>
              <w:t xml:space="preserve">. 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Sufficient 600mm deep </w:t>
            </w:r>
            <w:r w:rsidR="00CB226E" w:rsidRPr="006B4DCC">
              <w:rPr>
                <w:rFonts w:ascii="Montserrat" w:hAnsi="Montserrat" w:cs="Arial"/>
              </w:rPr>
              <w:t xml:space="preserve">cupboard </w:t>
            </w:r>
            <w:r w:rsidRPr="006B4DCC">
              <w:rPr>
                <w:rFonts w:ascii="Montserrat" w:hAnsi="Montserrat" w:cs="Arial"/>
              </w:rPr>
              <w:t>units</w:t>
            </w:r>
            <w:r w:rsidR="00415B9A" w:rsidRPr="006B4DCC">
              <w:rPr>
                <w:rFonts w:ascii="Montserrat" w:hAnsi="Montserrat" w:cs="Arial"/>
              </w:rPr>
              <w:t xml:space="preserve"> plus one drawer pack </w:t>
            </w:r>
            <w:r w:rsidRPr="006B4DCC">
              <w:rPr>
                <w:rFonts w:ascii="Montserrat" w:hAnsi="Montserrat" w:cs="Arial"/>
              </w:rPr>
              <w:t xml:space="preserve"> to meet the needs of the household</w:t>
            </w:r>
            <w:r w:rsidR="00CB226E"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Stainless steel inset sink and </w:t>
            </w:r>
            <w:r w:rsidR="00E76800" w:rsidRPr="006B4DCC">
              <w:rPr>
                <w:rFonts w:ascii="Montserrat" w:hAnsi="Montserrat" w:cs="Arial"/>
              </w:rPr>
              <w:t>lever taps</w:t>
            </w:r>
            <w:r w:rsidR="00CB226E"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(Supported Housing - Including TMV.)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Gas and electrical cooker points (where gas is available)</w:t>
            </w:r>
            <w:r w:rsidR="00CB226E"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CB226E" w:rsidRPr="006B4DCC" w:rsidRDefault="009343F2" w:rsidP="00CB226E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Tenant</w:t>
            </w:r>
            <w:r w:rsidR="00CB226E" w:rsidRPr="006B4DCC">
              <w:rPr>
                <w:rFonts w:ascii="Montserrat" w:hAnsi="Montserrat" w:cs="Arial"/>
              </w:rPr>
              <w:t>’</w:t>
            </w:r>
            <w:r w:rsidRPr="006B4DCC">
              <w:rPr>
                <w:rFonts w:ascii="Montserrat" w:hAnsi="Montserrat" w:cs="Arial"/>
              </w:rPr>
              <w:t>s choice anti-slip vinyl sheet floor covering</w:t>
            </w:r>
            <w:r w:rsidR="00E76800"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CB226E" w:rsidRPr="006B4DCC" w:rsidRDefault="009343F2" w:rsidP="00CB226E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Tenant</w:t>
            </w:r>
            <w:r w:rsidR="00CB226E" w:rsidRPr="006B4DCC">
              <w:rPr>
                <w:rFonts w:ascii="Montserrat" w:hAnsi="Montserrat" w:cs="Arial"/>
              </w:rPr>
              <w:t>’</w:t>
            </w:r>
            <w:r w:rsidRPr="006B4DCC">
              <w:rPr>
                <w:rFonts w:ascii="Montserrat" w:hAnsi="Montserrat" w:cs="Arial"/>
              </w:rPr>
              <w:t>s choice tiling, 3-tile high splash back</w:t>
            </w:r>
            <w:r w:rsidR="00CB226E" w:rsidRPr="006B4DCC">
              <w:rPr>
                <w:rFonts w:ascii="Montserrat" w:hAnsi="Montserrat" w:cs="Arial"/>
              </w:rPr>
              <w:t xml:space="preserve"> over worktop</w:t>
            </w:r>
            <w:r w:rsidRPr="006B4DCC">
              <w:rPr>
                <w:rFonts w:ascii="Montserrat" w:hAnsi="Montserrat" w:cs="Arial"/>
              </w:rPr>
              <w:t xml:space="preserve"> and fully tiled behind cooker space.</w:t>
            </w:r>
            <w:r w:rsidR="00CB226E" w:rsidRPr="006B4DCC">
              <w:rPr>
                <w:rFonts w:ascii="Montserrat" w:hAnsi="Montserrat" w:cs="Arial"/>
              </w:rPr>
              <w:t xml:space="preserve"> 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Electrical extractor fan </w:t>
            </w:r>
            <w:r w:rsidR="00E76800" w:rsidRPr="006B4DCC">
              <w:rPr>
                <w:rFonts w:ascii="Montserrat" w:hAnsi="Montserrat" w:cs="Arial"/>
              </w:rPr>
              <w:t>and fluorescent light</w:t>
            </w:r>
            <w:r w:rsidR="00CB226E"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lastRenderedPageBreak/>
              <w:t xml:space="preserve">Up to 4 sockets </w:t>
            </w:r>
            <w:r w:rsidR="00E76800" w:rsidRPr="006B4DCC">
              <w:rPr>
                <w:rFonts w:ascii="Montserrat" w:hAnsi="Montserrat" w:cs="Arial"/>
              </w:rPr>
              <w:t>to suit new kitchen layout</w:t>
            </w:r>
            <w:r w:rsidR="00CB226E" w:rsidRPr="006B4DCC">
              <w:rPr>
                <w:rFonts w:ascii="Montserrat" w:hAnsi="Montserrat" w:cs="Arial"/>
              </w:rPr>
              <w:t>.</w:t>
            </w:r>
            <w:r w:rsidR="003E7070" w:rsidRPr="006B4DCC">
              <w:rPr>
                <w:rFonts w:ascii="Montserrat" w:hAnsi="Montserrat" w:cs="Arial"/>
              </w:rPr>
              <w:t xml:space="preserve"> Separate supply to boiler if required.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CB226E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Wallpaper and other finishes removed. </w:t>
            </w:r>
            <w:r w:rsidR="00E76800" w:rsidRPr="006B4DCC">
              <w:rPr>
                <w:rFonts w:ascii="Montserrat" w:hAnsi="Montserrat" w:cs="Arial"/>
              </w:rPr>
              <w:t>Plaster repairs</w:t>
            </w:r>
            <w:r w:rsidR="009343F2" w:rsidRPr="006B4DCC">
              <w:rPr>
                <w:rFonts w:ascii="Montserrat" w:hAnsi="Montserrat" w:cs="Arial"/>
              </w:rPr>
              <w:t xml:space="preserve"> </w:t>
            </w:r>
            <w:r w:rsidRPr="006B4DCC">
              <w:rPr>
                <w:rFonts w:ascii="Montserrat" w:hAnsi="Montserrat" w:cs="Arial"/>
              </w:rPr>
              <w:t xml:space="preserve">if required. </w:t>
            </w:r>
            <w:r w:rsidR="009343F2" w:rsidRPr="006B4DCC">
              <w:rPr>
                <w:rFonts w:ascii="Montserrat" w:hAnsi="Montserrat" w:cs="Arial"/>
              </w:rPr>
              <w:t xml:space="preserve">Decoration to walls with matt emulsion in </w:t>
            </w:r>
            <w:r w:rsidR="00E76800" w:rsidRPr="006B4DCC">
              <w:rPr>
                <w:rFonts w:ascii="Montserrat" w:hAnsi="Montserrat" w:cs="Arial"/>
              </w:rPr>
              <w:t>choice of four colours</w:t>
            </w:r>
            <w:r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Decoration to ceiling </w:t>
            </w:r>
            <w:r w:rsidR="00E76800" w:rsidRPr="006B4DCC">
              <w:rPr>
                <w:rFonts w:ascii="Montserrat" w:hAnsi="Montserrat" w:cs="Arial"/>
              </w:rPr>
              <w:t>with matt emulsion in whit</w:t>
            </w:r>
            <w:r w:rsidRPr="006B4DCC">
              <w:rPr>
                <w:rFonts w:ascii="Montserrat" w:hAnsi="Montserrat" w:cs="Arial"/>
              </w:rPr>
              <w:t>e</w:t>
            </w:r>
            <w:r w:rsidR="00CB226E"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New pipework boxing including accessible box under combination boiler (where required)</w:t>
            </w: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473E78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="009343F2" w:rsidRPr="006B4DCC" w:rsidRDefault="009343F2">
      <w:pPr>
        <w:rPr>
          <w:rFonts w:ascii="Montserrat" w:hAnsi="Montserrat"/>
        </w:rPr>
      </w:pPr>
    </w:p>
    <w:tbl>
      <w:tblPr>
        <w:tblpPr w:leftFromText="180" w:rightFromText="180" w:vertAnchor="text" w:horzAnchor="margin" w:tblpXSpec="center" w:tblpY="-178"/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3780"/>
        <w:gridCol w:w="6504"/>
      </w:tblGrid>
      <w:tr w:rsidR="009343F2" w:rsidRPr="006B4DCC" w:rsidTr="009343F2">
        <w:tc>
          <w:tcPr>
            <w:tcW w:w="1908" w:type="dxa"/>
            <w:shd w:val="clear" w:color="auto" w:fill="3366FF"/>
          </w:tcPr>
          <w:p w:rsidR="009343F2" w:rsidRPr="006B4DCC" w:rsidRDefault="009343F2" w:rsidP="00331785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lastRenderedPageBreak/>
              <w:t>Element</w:t>
            </w:r>
          </w:p>
        </w:tc>
        <w:tc>
          <w:tcPr>
            <w:tcW w:w="3060" w:type="dxa"/>
            <w:shd w:val="clear" w:color="auto" w:fill="3366FF"/>
          </w:tcPr>
          <w:p w:rsidR="009343F2" w:rsidRPr="006B4DCC" w:rsidRDefault="003E7070" w:rsidP="00331785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 xml:space="preserve">Nominal </w:t>
            </w:r>
            <w:r w:rsidR="009343F2" w:rsidRPr="006B4DCC">
              <w:rPr>
                <w:rFonts w:ascii="Montserrat" w:hAnsi="Montserrat" w:cs="Arial"/>
                <w:color w:val="FFFFFF"/>
              </w:rPr>
              <w:t>Lifecycle</w:t>
            </w:r>
          </w:p>
        </w:tc>
        <w:tc>
          <w:tcPr>
            <w:tcW w:w="3780" w:type="dxa"/>
            <w:shd w:val="clear" w:color="auto" w:fill="3366FF"/>
          </w:tcPr>
          <w:p w:rsidR="009343F2" w:rsidRPr="006B4DCC" w:rsidRDefault="009343F2" w:rsidP="00331785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 xml:space="preserve">Replacement Criteria </w:t>
            </w:r>
          </w:p>
        </w:tc>
        <w:tc>
          <w:tcPr>
            <w:tcW w:w="6504" w:type="dxa"/>
            <w:shd w:val="clear" w:color="auto" w:fill="3366FF"/>
          </w:tcPr>
          <w:p w:rsidR="009343F2" w:rsidRPr="006B4DCC" w:rsidRDefault="009343F2" w:rsidP="00331785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Specification</w:t>
            </w:r>
          </w:p>
        </w:tc>
      </w:tr>
      <w:tr w:rsidR="009343F2" w:rsidRPr="006B4DCC" w:rsidTr="009343F2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Bathroom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Bathroom Replaced every 30 years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End of life cycle 30 years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Uneconomical to repair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Poor or unsafe design/layout</w:t>
            </w:r>
          </w:p>
        </w:tc>
        <w:tc>
          <w:tcPr>
            <w:tcW w:w="6504" w:type="dxa"/>
            <w:tcBorders>
              <w:bottom w:val="single" w:sz="4" w:space="0" w:color="000000"/>
            </w:tcBorders>
            <w:shd w:val="clear" w:color="auto" w:fill="auto"/>
          </w:tcPr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Partition wall removed between bath and WC (if required</w:t>
            </w:r>
            <w:r w:rsidR="005D0092" w:rsidRPr="006B4DCC">
              <w:rPr>
                <w:rFonts w:ascii="Montserrat" w:hAnsi="Montserrat" w:cs="Arial"/>
              </w:rPr>
              <w:t xml:space="preserve"> option offered to tenant</w:t>
            </w:r>
            <w:r w:rsidRPr="006B4DCC">
              <w:rPr>
                <w:rFonts w:ascii="Montserrat" w:hAnsi="Montserrat" w:cs="Arial"/>
              </w:rPr>
              <w:t>)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5D009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New b</w:t>
            </w:r>
            <w:r w:rsidR="009343F2" w:rsidRPr="006B4DCC">
              <w:rPr>
                <w:rFonts w:ascii="Montserrat" w:hAnsi="Montserrat" w:cs="Arial"/>
              </w:rPr>
              <w:t>ath, toilet</w:t>
            </w:r>
            <w:r w:rsidR="00E76800" w:rsidRPr="006B4DCC">
              <w:rPr>
                <w:rFonts w:ascii="Montserrat" w:hAnsi="Montserrat" w:cs="Arial"/>
              </w:rPr>
              <w:t xml:space="preserve">, </w:t>
            </w:r>
            <w:r w:rsidR="003E7070" w:rsidRPr="006B4DCC">
              <w:rPr>
                <w:rFonts w:ascii="Montserrat" w:hAnsi="Montserrat" w:cs="Arial"/>
              </w:rPr>
              <w:t xml:space="preserve">lever </w:t>
            </w:r>
            <w:r w:rsidR="00E76800" w:rsidRPr="006B4DCC">
              <w:rPr>
                <w:rFonts w:ascii="Montserrat" w:hAnsi="Montserrat" w:cs="Arial"/>
              </w:rPr>
              <w:t>taps</w:t>
            </w:r>
            <w:r w:rsidR="009343F2" w:rsidRPr="006B4DCC">
              <w:rPr>
                <w:rFonts w:ascii="Montserrat" w:hAnsi="Montserrat" w:cs="Arial"/>
              </w:rPr>
              <w:t xml:space="preserve"> and WHB </w:t>
            </w:r>
          </w:p>
          <w:p w:rsidR="009343F2" w:rsidRPr="006B4DCC" w:rsidRDefault="009343F2" w:rsidP="00142124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(Supported Housing - Including TMV.)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Over bath electrical shower with shower curtain &amp; rail</w:t>
            </w:r>
            <w:r w:rsidR="003E7070" w:rsidRPr="006B4DCC">
              <w:rPr>
                <w:rFonts w:ascii="Montserrat" w:hAnsi="Montserrat" w:cs="Arial"/>
              </w:rPr>
              <w:t>.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3E7070" w:rsidRPr="006B4DCC" w:rsidRDefault="009343F2" w:rsidP="003E7070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Tenant</w:t>
            </w:r>
            <w:r w:rsidR="003E7070" w:rsidRPr="006B4DCC">
              <w:rPr>
                <w:rFonts w:ascii="Montserrat" w:hAnsi="Montserrat" w:cs="Arial"/>
              </w:rPr>
              <w:t>’</w:t>
            </w:r>
            <w:r w:rsidRPr="006B4DCC">
              <w:rPr>
                <w:rFonts w:ascii="Montserrat" w:hAnsi="Montserrat" w:cs="Arial"/>
              </w:rPr>
              <w:t>s choice full tiling to 2 walls around bath and splash-back to wash hand basin</w:t>
            </w:r>
            <w:r w:rsidR="003E7070" w:rsidRPr="006B4DCC">
              <w:rPr>
                <w:rFonts w:ascii="Montserrat" w:hAnsi="Montserrat" w:cs="Arial"/>
              </w:rPr>
              <w:t xml:space="preserve">.  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Electrical extractor fan</w:t>
            </w:r>
            <w:r w:rsidR="003E7070" w:rsidRPr="006B4DCC">
              <w:rPr>
                <w:rFonts w:ascii="Montserrat" w:hAnsi="Montserrat" w:cs="Arial"/>
              </w:rPr>
              <w:t>, trickle with humidistat boost.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Light fitting – IP Rated.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  <w:highlight w:val="yellow"/>
              </w:rPr>
            </w:pPr>
          </w:p>
          <w:p w:rsidR="003E7070" w:rsidRPr="006B4DCC" w:rsidRDefault="009343F2" w:rsidP="003E7070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Tenant</w:t>
            </w:r>
            <w:r w:rsidR="003E7070" w:rsidRPr="006B4DCC">
              <w:rPr>
                <w:rFonts w:ascii="Montserrat" w:hAnsi="Montserrat" w:cs="Arial"/>
              </w:rPr>
              <w:t>’</w:t>
            </w:r>
            <w:r w:rsidRPr="006B4DCC">
              <w:rPr>
                <w:rFonts w:ascii="Montserrat" w:hAnsi="Montserrat" w:cs="Arial"/>
              </w:rPr>
              <w:t>s choice anti-slip vinyl sheet floor covering</w:t>
            </w:r>
            <w:r w:rsidR="003E7070" w:rsidRPr="006B4DCC">
              <w:rPr>
                <w:rFonts w:ascii="Montserrat" w:hAnsi="Montserrat" w:cs="Arial"/>
              </w:rPr>
              <w:t xml:space="preserve">. 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3E7070" w:rsidRPr="006B4DCC" w:rsidRDefault="003E7070" w:rsidP="003E7070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Wallpaper and other finishes removed. Plaster repairs if required. Decoration to walls with matt emulsion in choice of four colours.</w:t>
            </w: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142124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Decoration to ceiling with matt vinyl emulsion in white</w:t>
            </w:r>
          </w:p>
          <w:p w:rsidR="009343F2" w:rsidRPr="006B4DCC" w:rsidRDefault="009343F2" w:rsidP="00142124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Default="003E7070" w:rsidP="00142124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Level Access Shower</w:t>
            </w:r>
            <w:r w:rsidR="009343F2" w:rsidRPr="006B4DCC">
              <w:rPr>
                <w:rFonts w:ascii="Montserrat" w:hAnsi="Montserrat" w:cs="Arial"/>
              </w:rPr>
              <w:t xml:space="preserve"> may be offered with O</w:t>
            </w:r>
            <w:r w:rsidRPr="006B4DCC">
              <w:rPr>
                <w:rFonts w:ascii="Montserrat" w:hAnsi="Montserrat" w:cs="Arial"/>
              </w:rPr>
              <w:t xml:space="preserve">ccupational </w:t>
            </w:r>
            <w:r w:rsidR="009343F2" w:rsidRPr="006B4DCC">
              <w:rPr>
                <w:rFonts w:ascii="Montserrat" w:hAnsi="Montserrat" w:cs="Arial"/>
              </w:rPr>
              <w:t>T</w:t>
            </w:r>
            <w:r w:rsidRPr="006B4DCC">
              <w:rPr>
                <w:rFonts w:ascii="Montserrat" w:hAnsi="Montserrat" w:cs="Arial"/>
              </w:rPr>
              <w:t>herapist’s</w:t>
            </w:r>
            <w:r w:rsidR="009343F2" w:rsidRPr="006B4DCC">
              <w:rPr>
                <w:rFonts w:ascii="Montserrat" w:hAnsi="Montserrat" w:cs="Arial"/>
              </w:rPr>
              <w:t xml:space="preserve"> </w:t>
            </w:r>
            <w:r w:rsidRPr="006B4DCC">
              <w:rPr>
                <w:rFonts w:ascii="Montserrat" w:hAnsi="Montserrat" w:cs="Arial"/>
              </w:rPr>
              <w:t xml:space="preserve">written </w:t>
            </w:r>
            <w:r w:rsidR="009343F2" w:rsidRPr="006B4DCC">
              <w:rPr>
                <w:rFonts w:ascii="Montserrat" w:hAnsi="Montserrat" w:cs="Arial"/>
              </w:rPr>
              <w:t>referral</w:t>
            </w:r>
            <w:r w:rsidRPr="006B4DCC">
              <w:rPr>
                <w:rFonts w:ascii="Montserrat" w:hAnsi="Montserrat" w:cs="Arial"/>
              </w:rPr>
              <w:t>.</w:t>
            </w:r>
          </w:p>
          <w:p w:rsidR="009567A1" w:rsidRPr="006B4DCC" w:rsidRDefault="009567A1" w:rsidP="00142124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343F2" w:rsidRPr="006B4DCC" w:rsidRDefault="009343F2" w:rsidP="00331785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952683" w:rsidRPr="006B4DCC" w:rsidTr="00B5477F">
        <w:tc>
          <w:tcPr>
            <w:tcW w:w="1908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lastRenderedPageBreak/>
              <w:t>Element</w:t>
            </w:r>
          </w:p>
        </w:tc>
        <w:tc>
          <w:tcPr>
            <w:tcW w:w="3060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Nominal Lifecycle</w:t>
            </w:r>
          </w:p>
        </w:tc>
        <w:tc>
          <w:tcPr>
            <w:tcW w:w="3780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 xml:space="preserve">Replacement Criteria </w:t>
            </w:r>
          </w:p>
        </w:tc>
        <w:tc>
          <w:tcPr>
            <w:tcW w:w="6504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Specification</w:t>
            </w: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Windows &amp; Doors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Windows every 30 years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External doors, front and rear, every 30 years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30 years old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Poor or unsecure design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Single glazing replaced at end of life cycle. </w:t>
            </w: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UPVC window frames with double glazed units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952683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Tenant’s choice Secure-by-Design composite external doors. </w:t>
            </w:r>
          </w:p>
        </w:tc>
      </w:tr>
      <w:tr w:rsidR="00952683" w:rsidRPr="006B4DCC" w:rsidTr="00B5477F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Heating Installation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Boiler replaced every 15 years. * Lifecycle currently under consideration.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Radiators and pipework replaced every 30 years.      * Lifecycle currently under consideration.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ASHP’s replaced every 20 years * Lifecycle currently under consideration.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PV replaced every 30 years* Lifecycle currently under consideration.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End of life cycle *30 years for system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*15 years gas boiler  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Heating system must be controllable 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Non gas areas consider renewable heating in place of solid fuel and oil boilers.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Gas fires removed where possible. Not replaced. </w:t>
            </w:r>
          </w:p>
        </w:tc>
        <w:tc>
          <w:tcPr>
            <w:tcW w:w="6504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A new condensing boiler (Class A) – in on-gas areas. Renewable Technology considered for off-gas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Wall-mounted programmable room thermostats 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New radiators with thermostatic radiator valves with trunking to all pipework.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proofErr w:type="spellStart"/>
            <w:r w:rsidRPr="006B4DCC">
              <w:rPr>
                <w:rFonts w:ascii="Montserrat" w:hAnsi="Montserrat" w:cs="Arial"/>
              </w:rPr>
              <w:t>Powerflush</w:t>
            </w:r>
            <w:proofErr w:type="spellEnd"/>
            <w:r w:rsidRPr="006B4DCC">
              <w:rPr>
                <w:rFonts w:ascii="Montserrat" w:hAnsi="Montserrat" w:cs="Arial"/>
              </w:rPr>
              <w:t>, Fernox &amp; Magna-clean where required. Water softener in hard water area.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Selection of wood effect or marble effect surrounds following removal of gas fire. Electric feature fire with adjacent electricity supply (one surround per property)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Topping up of loft insulation (where required)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952683" w:rsidRPr="006B4DCC" w:rsidTr="00B5477F">
        <w:tc>
          <w:tcPr>
            <w:tcW w:w="1908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lastRenderedPageBreak/>
              <w:t>Element</w:t>
            </w:r>
          </w:p>
        </w:tc>
        <w:tc>
          <w:tcPr>
            <w:tcW w:w="3060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Nominal Lifecycle</w:t>
            </w:r>
          </w:p>
        </w:tc>
        <w:tc>
          <w:tcPr>
            <w:tcW w:w="3780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 xml:space="preserve">Replacement Criteria </w:t>
            </w:r>
          </w:p>
        </w:tc>
        <w:tc>
          <w:tcPr>
            <w:tcW w:w="6504" w:type="dxa"/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Specification</w:t>
            </w: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Electrical Installation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  <w:b/>
              </w:rPr>
              <w:t>(Partial or Full)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Replaced every 30 years      * Lifecycle currently under consideration.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Consumer unit every 30 years * Lifecycle currently under consideration.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Replaced as required from information provided in 5 year Periodic Inspection.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Failing circuit and component testing – then partial re-wire assessment.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Upgraded when new kitchens or bathrooms are fitted.</w:t>
            </w: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Full rewire will mean the removal of all the old electrical cable. Partial will retain the cable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New consumer unit to current standards. 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Double Pole isolator if required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Lounge up to 4 double sockets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Kitchen up to 4 double sockets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Dining room up to 2 double sockets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Bedrooms (all) up to 2 double socket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Hall and stairs 2 double sockets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Heat/Smoke Detectors hard wired with battery backup (as required). Interconnected.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CO detectors battery (where required)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External door light front &amp; rear if specified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Extractor fans in bathroom and kitchen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Roof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 or high maintenance costs.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To match existing or modern equivalent.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Flat roof – Modern roof covering with minimum 30 year life (felt replacement)</w:t>
            </w: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 xml:space="preserve">Chimney 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Patch repair 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Rebuild  (only where necessary) 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Demolish if possible &amp; not required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952683" w:rsidRPr="006B4DCC" w:rsidTr="00B5477F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Roof line and rain water goods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survey.</w:t>
            </w:r>
          </w:p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Poor condition (asbestos) / water ingress.</w:t>
            </w:r>
          </w:p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</w:p>
        </w:tc>
        <w:tc>
          <w:tcPr>
            <w:tcW w:w="6504" w:type="dxa"/>
            <w:tcBorders>
              <w:bottom w:val="single" w:sz="4" w:space="0" w:color="000000"/>
            </w:tcBorders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lastRenderedPageBreak/>
              <w:t xml:space="preserve">PVC – FSG – cap and cover (conservation areas flagged) 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PVC – RWG</w:t>
            </w:r>
            <w:r>
              <w:rPr>
                <w:rFonts w:ascii="Montserrat" w:hAnsi="Montserrat" w:cs="Arial"/>
              </w:rPr>
              <w:t xml:space="preserve">, </w:t>
            </w:r>
            <w:r w:rsidRPr="006B4DCC">
              <w:rPr>
                <w:rFonts w:ascii="Montserrat" w:hAnsi="Montserrat" w:cs="Arial"/>
              </w:rPr>
              <w:t>Eaves guard fitted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952683" w:rsidRPr="006B4DCC" w:rsidTr="00B5477F">
        <w:tc>
          <w:tcPr>
            <w:tcW w:w="1908" w:type="dxa"/>
            <w:tcBorders>
              <w:bottom w:val="single" w:sz="4" w:space="0" w:color="000000"/>
            </w:tcBorders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lastRenderedPageBreak/>
              <w:t>Element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Nominal Lifecycle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 xml:space="preserve">Replacement Criteria </w:t>
            </w:r>
          </w:p>
        </w:tc>
        <w:tc>
          <w:tcPr>
            <w:tcW w:w="6504" w:type="dxa"/>
            <w:tcBorders>
              <w:bottom w:val="single" w:sz="4" w:space="0" w:color="000000"/>
            </w:tcBorders>
            <w:shd w:val="clear" w:color="auto" w:fill="3366FF"/>
          </w:tcPr>
          <w:p w:rsidR="00952683" w:rsidRPr="006B4DCC" w:rsidRDefault="00952683" w:rsidP="00B5477F">
            <w:pPr>
              <w:spacing w:after="0" w:line="240" w:lineRule="auto"/>
              <w:jc w:val="center"/>
              <w:rPr>
                <w:rFonts w:ascii="Montserrat" w:hAnsi="Montserrat" w:cs="Arial"/>
                <w:color w:val="FFFFFF"/>
              </w:rPr>
            </w:pPr>
            <w:r w:rsidRPr="006B4DCC">
              <w:rPr>
                <w:rFonts w:ascii="Montserrat" w:hAnsi="Montserrat" w:cs="Arial"/>
                <w:color w:val="FFFFFF"/>
              </w:rPr>
              <w:t>Specification</w:t>
            </w: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 xml:space="preserve">Structural 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condition survey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Dependent on structural requirements.</w:t>
            </w: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Outbuildings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Economic repair assessment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Repair/demolish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Demolish – inspect slab, leave a hard standing if required.</w:t>
            </w: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Environmental Works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Based on stock condition survey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/>
              </w:rPr>
            </w:pPr>
            <w:r w:rsidRPr="006B4DCC">
              <w:rPr>
                <w:rFonts w:ascii="Montserrat" w:hAnsi="Montserrat" w:cs="Arial"/>
              </w:rPr>
              <w:t>Based on stock condition survey.</w:t>
            </w:r>
          </w:p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/>
              </w:rPr>
            </w:pPr>
            <w:r w:rsidRPr="006B4DCC">
              <w:rPr>
                <w:rFonts w:ascii="Montserrat" w:hAnsi="Montserrat"/>
              </w:rPr>
              <w:t>All boundaries and access are safe and sound including fencing and pathways to front and rear doors</w:t>
            </w:r>
          </w:p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Responsive repairs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Re-let standard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Small programmes of fencing replacement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Garage blocks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Related assets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ind w:left="33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Sustainability assessment - implementation</w:t>
            </w: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Green - Roofing, refurbishment, re-letting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Red – demolish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Cyclical painting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Cyclical budgets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5 year external painting cycle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Clean gutters</w:t>
            </w:r>
            <w:r>
              <w:rPr>
                <w:rFonts w:ascii="Montserrat" w:hAnsi="Montserrat" w:cs="Arial"/>
              </w:rPr>
              <w:t xml:space="preserve"> &amp; wash down UPVC – repaint according to specification</w:t>
            </w:r>
          </w:p>
        </w:tc>
      </w:tr>
      <w:tr w:rsidR="00952683" w:rsidRPr="006B4DCC" w:rsidTr="00B5477F">
        <w:trPr>
          <w:trHeight w:val="561"/>
        </w:trPr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>Electrical testing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 xml:space="preserve">Cyclical budgets 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5 year testing cycle</w:t>
            </w:r>
          </w:p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Repair or investment programme for re-wire/partial re-wire</w:t>
            </w:r>
          </w:p>
        </w:tc>
      </w:tr>
      <w:tr w:rsidR="00952683" w:rsidRPr="006B4DCC" w:rsidTr="00B5477F">
        <w:tc>
          <w:tcPr>
            <w:tcW w:w="1908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6B4DCC">
              <w:rPr>
                <w:rFonts w:ascii="Montserrat" w:hAnsi="Montserrat" w:cs="Arial"/>
                <w:b/>
              </w:rPr>
              <w:t xml:space="preserve">Asbestos </w:t>
            </w:r>
          </w:p>
        </w:tc>
        <w:tc>
          <w:tcPr>
            <w:tcW w:w="306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To HSE requirements</w:t>
            </w:r>
          </w:p>
        </w:tc>
        <w:tc>
          <w:tcPr>
            <w:tcW w:w="3780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Encapsulated if in good condition</w:t>
            </w:r>
          </w:p>
        </w:tc>
        <w:tc>
          <w:tcPr>
            <w:tcW w:w="6504" w:type="dxa"/>
            <w:shd w:val="clear" w:color="auto" w:fill="auto"/>
          </w:tcPr>
          <w:p w:rsidR="00952683" w:rsidRPr="006B4DCC" w:rsidRDefault="00952683" w:rsidP="00B5477F">
            <w:pPr>
              <w:spacing w:after="0" w:line="240" w:lineRule="auto"/>
              <w:rPr>
                <w:rFonts w:ascii="Montserrat" w:hAnsi="Montserrat" w:cs="Arial"/>
              </w:rPr>
            </w:pPr>
            <w:r w:rsidRPr="006B4DCC">
              <w:rPr>
                <w:rFonts w:ascii="Montserrat" w:hAnsi="Montserrat" w:cs="Arial"/>
              </w:rPr>
              <w:t>Remove where susceptible to disturbance or damage.</w:t>
            </w:r>
          </w:p>
        </w:tc>
      </w:tr>
    </w:tbl>
    <w:p w:rsidR="005D0092" w:rsidRDefault="005D0092">
      <w:pPr>
        <w:rPr>
          <w:rFonts w:ascii="Montserrat" w:hAnsi="Montserrat"/>
        </w:rPr>
      </w:pPr>
    </w:p>
    <w:p w:rsidR="00952683" w:rsidRPr="006B4DCC" w:rsidRDefault="00952683">
      <w:pPr>
        <w:rPr>
          <w:rFonts w:ascii="Montserrat" w:hAnsi="Montserrat"/>
        </w:rPr>
      </w:pPr>
    </w:p>
    <w:p w:rsidR="00813C8A" w:rsidRPr="006B4DCC" w:rsidRDefault="00813C8A">
      <w:pPr>
        <w:rPr>
          <w:rFonts w:ascii="Montserrat" w:hAnsi="Montserrat"/>
          <w:noProof/>
          <w:lang w:eastAsia="en-GB"/>
        </w:rPr>
      </w:pPr>
    </w:p>
    <w:p w:rsidR="00705997" w:rsidRPr="006B4DCC" w:rsidRDefault="00705997">
      <w:pPr>
        <w:rPr>
          <w:rFonts w:ascii="Montserrat" w:hAnsi="Montserrat"/>
        </w:rPr>
      </w:pPr>
    </w:p>
    <w:p w:rsidR="008964ED" w:rsidRPr="006B4DCC" w:rsidRDefault="008964ED" w:rsidP="00934DB3">
      <w:pPr>
        <w:rPr>
          <w:rFonts w:ascii="Montserrat" w:hAnsi="Montserrat" w:cs="Arial"/>
        </w:rPr>
      </w:pPr>
    </w:p>
    <w:sectPr w:rsidR="008964ED" w:rsidRPr="006B4DCC" w:rsidSect="00E54F30">
      <w:headerReference w:type="default" r:id="rId10"/>
      <w:footerReference w:type="default" r:id="rId11"/>
      <w:pgSz w:w="16838" w:h="11906" w:orient="landscape" w:code="9"/>
      <w:pgMar w:top="794" w:right="1134" w:bottom="79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31" w:rsidRDefault="00DC7931" w:rsidP="0026586B">
      <w:pPr>
        <w:spacing w:after="0" w:line="240" w:lineRule="auto"/>
      </w:pPr>
      <w:r>
        <w:separator/>
      </w:r>
    </w:p>
  </w:endnote>
  <w:endnote w:type="continuationSeparator" w:id="0">
    <w:p w:rsidR="00DC7931" w:rsidRDefault="00DC7931" w:rsidP="0026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kzidenz Grotes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31" w:rsidRPr="00473E78" w:rsidRDefault="00DC7931" w:rsidP="00473E78">
    <w:pPr>
      <w:pStyle w:val="Footer"/>
      <w:jc w:val="center"/>
      <w:rPr>
        <w:rFonts w:ascii="Arial" w:hAnsi="Arial" w:cs="Arial"/>
      </w:rPr>
    </w:pPr>
    <w:r w:rsidRPr="00473E78">
      <w:rPr>
        <w:rFonts w:ascii="Arial" w:hAnsi="Arial" w:cs="Arial"/>
      </w:rPr>
      <w:fldChar w:fldCharType="begin"/>
    </w:r>
    <w:r w:rsidRPr="00473E78">
      <w:rPr>
        <w:rFonts w:ascii="Arial" w:hAnsi="Arial" w:cs="Arial"/>
      </w:rPr>
      <w:instrText xml:space="preserve"> PAGE   \* MERGEFORMAT </w:instrText>
    </w:r>
    <w:r w:rsidRPr="00473E78">
      <w:rPr>
        <w:rFonts w:ascii="Arial" w:hAnsi="Arial" w:cs="Arial"/>
      </w:rPr>
      <w:fldChar w:fldCharType="separate"/>
    </w:r>
    <w:r w:rsidR="008C5694">
      <w:rPr>
        <w:rFonts w:ascii="Arial" w:hAnsi="Arial" w:cs="Arial"/>
        <w:noProof/>
      </w:rPr>
      <w:t>6</w:t>
    </w:r>
    <w:r w:rsidRPr="00473E78">
      <w:rPr>
        <w:rFonts w:ascii="Arial" w:hAnsi="Arial" w:cs="Arial"/>
        <w:noProof/>
      </w:rPr>
      <w:fldChar w:fldCharType="end"/>
    </w:r>
  </w:p>
  <w:p w:rsidR="00DC7931" w:rsidRDefault="00DC7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31" w:rsidRDefault="00DC7931" w:rsidP="0026586B">
      <w:pPr>
        <w:spacing w:after="0" w:line="240" w:lineRule="auto"/>
      </w:pPr>
      <w:r>
        <w:separator/>
      </w:r>
    </w:p>
  </w:footnote>
  <w:footnote w:type="continuationSeparator" w:id="0">
    <w:p w:rsidR="00DC7931" w:rsidRDefault="00DC7931" w:rsidP="0026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31" w:rsidRPr="00473E78" w:rsidRDefault="00DC7931" w:rsidP="00473E78">
    <w:pPr>
      <w:pStyle w:val="Header"/>
      <w:jc w:val="right"/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1EC"/>
    <w:multiLevelType w:val="hybridMultilevel"/>
    <w:tmpl w:val="D4A67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2F9"/>
    <w:multiLevelType w:val="hybridMultilevel"/>
    <w:tmpl w:val="A170F0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10D49"/>
    <w:multiLevelType w:val="hybridMultilevel"/>
    <w:tmpl w:val="0E72905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1200CC"/>
    <w:multiLevelType w:val="hybridMultilevel"/>
    <w:tmpl w:val="6D76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77D6E"/>
    <w:multiLevelType w:val="hybridMultilevel"/>
    <w:tmpl w:val="9C68D89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17773"/>
    <w:multiLevelType w:val="hybridMultilevel"/>
    <w:tmpl w:val="87E25B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3E63"/>
    <w:multiLevelType w:val="hybridMultilevel"/>
    <w:tmpl w:val="5CC45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26A8"/>
    <w:multiLevelType w:val="hybridMultilevel"/>
    <w:tmpl w:val="48A8C1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26A01"/>
    <w:multiLevelType w:val="hybridMultilevel"/>
    <w:tmpl w:val="D07EF2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0140"/>
    <w:multiLevelType w:val="hybridMultilevel"/>
    <w:tmpl w:val="45EE3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EEA"/>
    <w:multiLevelType w:val="hybridMultilevel"/>
    <w:tmpl w:val="3470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0C9A"/>
    <w:multiLevelType w:val="hybridMultilevel"/>
    <w:tmpl w:val="26FAA8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B7518"/>
    <w:multiLevelType w:val="hybridMultilevel"/>
    <w:tmpl w:val="64208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9D6"/>
    <w:multiLevelType w:val="hybridMultilevel"/>
    <w:tmpl w:val="16504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2798"/>
    <w:multiLevelType w:val="hybridMultilevel"/>
    <w:tmpl w:val="389C3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665E1"/>
    <w:multiLevelType w:val="hybridMultilevel"/>
    <w:tmpl w:val="6388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00BE5"/>
    <w:multiLevelType w:val="hybridMultilevel"/>
    <w:tmpl w:val="B97C80B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F5356"/>
    <w:multiLevelType w:val="hybridMultilevel"/>
    <w:tmpl w:val="7CF4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31CF"/>
    <w:multiLevelType w:val="hybridMultilevel"/>
    <w:tmpl w:val="3758AC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C41DD"/>
    <w:multiLevelType w:val="hybridMultilevel"/>
    <w:tmpl w:val="09A43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24DF6"/>
    <w:multiLevelType w:val="hybridMultilevel"/>
    <w:tmpl w:val="6EB0F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C07E2"/>
    <w:multiLevelType w:val="hybridMultilevel"/>
    <w:tmpl w:val="F73AEE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4702D"/>
    <w:multiLevelType w:val="hybridMultilevel"/>
    <w:tmpl w:val="4DFE57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A05B4"/>
    <w:multiLevelType w:val="hybridMultilevel"/>
    <w:tmpl w:val="08F85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73F2B"/>
    <w:multiLevelType w:val="hybridMultilevel"/>
    <w:tmpl w:val="D57465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1647E"/>
    <w:multiLevelType w:val="hybridMultilevel"/>
    <w:tmpl w:val="164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B5816"/>
    <w:multiLevelType w:val="hybridMultilevel"/>
    <w:tmpl w:val="040826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57305"/>
    <w:multiLevelType w:val="hybridMultilevel"/>
    <w:tmpl w:val="948C3B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EC63E0"/>
    <w:multiLevelType w:val="hybridMultilevel"/>
    <w:tmpl w:val="A528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22B0D"/>
    <w:multiLevelType w:val="hybridMultilevel"/>
    <w:tmpl w:val="AF42F1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A2461"/>
    <w:multiLevelType w:val="hybridMultilevel"/>
    <w:tmpl w:val="D3C6C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94D1E"/>
    <w:multiLevelType w:val="hybridMultilevel"/>
    <w:tmpl w:val="0724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A20"/>
    <w:multiLevelType w:val="hybridMultilevel"/>
    <w:tmpl w:val="D71A9B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54BB9"/>
    <w:multiLevelType w:val="hybridMultilevel"/>
    <w:tmpl w:val="0A1646F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6D1108"/>
    <w:multiLevelType w:val="hybridMultilevel"/>
    <w:tmpl w:val="F55ED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9"/>
  </w:num>
  <w:num w:numId="8">
    <w:abstractNumId w:val="30"/>
  </w:num>
  <w:num w:numId="9">
    <w:abstractNumId w:val="14"/>
  </w:num>
  <w:num w:numId="10">
    <w:abstractNumId w:val="25"/>
  </w:num>
  <w:num w:numId="11">
    <w:abstractNumId w:val="34"/>
  </w:num>
  <w:num w:numId="12">
    <w:abstractNumId w:val="0"/>
  </w:num>
  <w:num w:numId="13">
    <w:abstractNumId w:val="20"/>
  </w:num>
  <w:num w:numId="14">
    <w:abstractNumId w:val="23"/>
  </w:num>
  <w:num w:numId="15">
    <w:abstractNumId w:val="31"/>
  </w:num>
  <w:num w:numId="16">
    <w:abstractNumId w:val="17"/>
  </w:num>
  <w:num w:numId="17">
    <w:abstractNumId w:val="28"/>
  </w:num>
  <w:num w:numId="18">
    <w:abstractNumId w:val="8"/>
  </w:num>
  <w:num w:numId="19">
    <w:abstractNumId w:val="22"/>
  </w:num>
  <w:num w:numId="20">
    <w:abstractNumId w:val="32"/>
  </w:num>
  <w:num w:numId="21">
    <w:abstractNumId w:val="21"/>
  </w:num>
  <w:num w:numId="22">
    <w:abstractNumId w:val="18"/>
  </w:num>
  <w:num w:numId="23">
    <w:abstractNumId w:val="11"/>
  </w:num>
  <w:num w:numId="24">
    <w:abstractNumId w:val="5"/>
  </w:num>
  <w:num w:numId="25">
    <w:abstractNumId w:val="29"/>
  </w:num>
  <w:num w:numId="26">
    <w:abstractNumId w:val="24"/>
  </w:num>
  <w:num w:numId="27">
    <w:abstractNumId w:val="33"/>
  </w:num>
  <w:num w:numId="28">
    <w:abstractNumId w:val="26"/>
  </w:num>
  <w:num w:numId="29">
    <w:abstractNumId w:val="16"/>
  </w:num>
  <w:num w:numId="30">
    <w:abstractNumId w:val="4"/>
  </w:num>
  <w:num w:numId="31">
    <w:abstractNumId w:val="2"/>
  </w:num>
  <w:num w:numId="32">
    <w:abstractNumId w:val="7"/>
  </w:num>
  <w:num w:numId="33">
    <w:abstractNumId w:val="27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8C"/>
    <w:rsid w:val="00033E61"/>
    <w:rsid w:val="00040DA1"/>
    <w:rsid w:val="00044437"/>
    <w:rsid w:val="000553D8"/>
    <w:rsid w:val="00064BE8"/>
    <w:rsid w:val="00077102"/>
    <w:rsid w:val="00094BA4"/>
    <w:rsid w:val="000A11BB"/>
    <w:rsid w:val="000B6142"/>
    <w:rsid w:val="000E56BF"/>
    <w:rsid w:val="001142DF"/>
    <w:rsid w:val="00136E42"/>
    <w:rsid w:val="00142124"/>
    <w:rsid w:val="0014439C"/>
    <w:rsid w:val="001446A7"/>
    <w:rsid w:val="001469AE"/>
    <w:rsid w:val="00175D11"/>
    <w:rsid w:val="001C2CEA"/>
    <w:rsid w:val="001C7A6F"/>
    <w:rsid w:val="001E448C"/>
    <w:rsid w:val="001F6409"/>
    <w:rsid w:val="00211C8F"/>
    <w:rsid w:val="002179F4"/>
    <w:rsid w:val="00237C6B"/>
    <w:rsid w:val="0026586B"/>
    <w:rsid w:val="00281F9D"/>
    <w:rsid w:val="002C08B2"/>
    <w:rsid w:val="002C17BB"/>
    <w:rsid w:val="00311F0E"/>
    <w:rsid w:val="00315002"/>
    <w:rsid w:val="00315102"/>
    <w:rsid w:val="00321D0E"/>
    <w:rsid w:val="00331785"/>
    <w:rsid w:val="00337574"/>
    <w:rsid w:val="00346A63"/>
    <w:rsid w:val="0035122F"/>
    <w:rsid w:val="003662A4"/>
    <w:rsid w:val="0038092F"/>
    <w:rsid w:val="003C0A6D"/>
    <w:rsid w:val="003E7070"/>
    <w:rsid w:val="00414CEC"/>
    <w:rsid w:val="00415B9A"/>
    <w:rsid w:val="00424E20"/>
    <w:rsid w:val="0043147F"/>
    <w:rsid w:val="004569EE"/>
    <w:rsid w:val="0045743D"/>
    <w:rsid w:val="00473E78"/>
    <w:rsid w:val="00492769"/>
    <w:rsid w:val="00493C33"/>
    <w:rsid w:val="004B0320"/>
    <w:rsid w:val="004D2E63"/>
    <w:rsid w:val="004D6BDE"/>
    <w:rsid w:val="004E7803"/>
    <w:rsid w:val="004F3292"/>
    <w:rsid w:val="005119A4"/>
    <w:rsid w:val="005146EE"/>
    <w:rsid w:val="00540950"/>
    <w:rsid w:val="00560889"/>
    <w:rsid w:val="00564E68"/>
    <w:rsid w:val="00585807"/>
    <w:rsid w:val="005867F1"/>
    <w:rsid w:val="0059241E"/>
    <w:rsid w:val="005B01CB"/>
    <w:rsid w:val="005D0092"/>
    <w:rsid w:val="005F4FA5"/>
    <w:rsid w:val="00605516"/>
    <w:rsid w:val="00654F8C"/>
    <w:rsid w:val="00662F21"/>
    <w:rsid w:val="00690A38"/>
    <w:rsid w:val="006B4DCC"/>
    <w:rsid w:val="006B6F2B"/>
    <w:rsid w:val="006C76AA"/>
    <w:rsid w:val="006D43AA"/>
    <w:rsid w:val="006D6BD5"/>
    <w:rsid w:val="006D76B1"/>
    <w:rsid w:val="006F0EF4"/>
    <w:rsid w:val="006F1859"/>
    <w:rsid w:val="00705997"/>
    <w:rsid w:val="00710DE5"/>
    <w:rsid w:val="00726967"/>
    <w:rsid w:val="00732EC8"/>
    <w:rsid w:val="00785286"/>
    <w:rsid w:val="00786B72"/>
    <w:rsid w:val="007931FC"/>
    <w:rsid w:val="00797035"/>
    <w:rsid w:val="007C46EA"/>
    <w:rsid w:val="007D1CA2"/>
    <w:rsid w:val="007D51E2"/>
    <w:rsid w:val="007E544E"/>
    <w:rsid w:val="00805763"/>
    <w:rsid w:val="00810F0F"/>
    <w:rsid w:val="00813C8A"/>
    <w:rsid w:val="008301DE"/>
    <w:rsid w:val="00844146"/>
    <w:rsid w:val="00861E95"/>
    <w:rsid w:val="00863B8F"/>
    <w:rsid w:val="00867D91"/>
    <w:rsid w:val="00873A6E"/>
    <w:rsid w:val="00876CFC"/>
    <w:rsid w:val="008938A0"/>
    <w:rsid w:val="008964ED"/>
    <w:rsid w:val="008A018F"/>
    <w:rsid w:val="008A0FBD"/>
    <w:rsid w:val="008A2611"/>
    <w:rsid w:val="008C5694"/>
    <w:rsid w:val="008D57A8"/>
    <w:rsid w:val="008E35B4"/>
    <w:rsid w:val="008F22ED"/>
    <w:rsid w:val="008F23FD"/>
    <w:rsid w:val="008F3338"/>
    <w:rsid w:val="0090778F"/>
    <w:rsid w:val="009206A3"/>
    <w:rsid w:val="009249A8"/>
    <w:rsid w:val="009259AB"/>
    <w:rsid w:val="00926554"/>
    <w:rsid w:val="00931A19"/>
    <w:rsid w:val="009343F2"/>
    <w:rsid w:val="00934DB3"/>
    <w:rsid w:val="009402EA"/>
    <w:rsid w:val="00952683"/>
    <w:rsid w:val="009567A1"/>
    <w:rsid w:val="00956C39"/>
    <w:rsid w:val="00972A65"/>
    <w:rsid w:val="009779BF"/>
    <w:rsid w:val="009906E6"/>
    <w:rsid w:val="009A194B"/>
    <w:rsid w:val="009A7D9E"/>
    <w:rsid w:val="009B186F"/>
    <w:rsid w:val="009B54CB"/>
    <w:rsid w:val="009C7EF0"/>
    <w:rsid w:val="009D38AC"/>
    <w:rsid w:val="009E01D7"/>
    <w:rsid w:val="00A13EC9"/>
    <w:rsid w:val="00A21AEC"/>
    <w:rsid w:val="00A4252C"/>
    <w:rsid w:val="00A444A2"/>
    <w:rsid w:val="00A53B97"/>
    <w:rsid w:val="00A86228"/>
    <w:rsid w:val="00AE5B35"/>
    <w:rsid w:val="00B01986"/>
    <w:rsid w:val="00B066F8"/>
    <w:rsid w:val="00B21BF2"/>
    <w:rsid w:val="00B24047"/>
    <w:rsid w:val="00B3793E"/>
    <w:rsid w:val="00B43DBB"/>
    <w:rsid w:val="00B73F20"/>
    <w:rsid w:val="00BA410F"/>
    <w:rsid w:val="00BC0ECE"/>
    <w:rsid w:val="00BC5FCA"/>
    <w:rsid w:val="00BF066A"/>
    <w:rsid w:val="00BF1097"/>
    <w:rsid w:val="00C0467F"/>
    <w:rsid w:val="00C11F9C"/>
    <w:rsid w:val="00C24930"/>
    <w:rsid w:val="00C3026F"/>
    <w:rsid w:val="00C459ED"/>
    <w:rsid w:val="00C467B2"/>
    <w:rsid w:val="00C5405B"/>
    <w:rsid w:val="00C6419A"/>
    <w:rsid w:val="00C64470"/>
    <w:rsid w:val="00C772C4"/>
    <w:rsid w:val="00CB226E"/>
    <w:rsid w:val="00CD5B38"/>
    <w:rsid w:val="00CE3A91"/>
    <w:rsid w:val="00CE5427"/>
    <w:rsid w:val="00CF27AC"/>
    <w:rsid w:val="00D0194D"/>
    <w:rsid w:val="00D149B4"/>
    <w:rsid w:val="00D24591"/>
    <w:rsid w:val="00D33869"/>
    <w:rsid w:val="00D51A34"/>
    <w:rsid w:val="00DA247B"/>
    <w:rsid w:val="00DA4289"/>
    <w:rsid w:val="00DA49BA"/>
    <w:rsid w:val="00DB2BE3"/>
    <w:rsid w:val="00DB7114"/>
    <w:rsid w:val="00DC0797"/>
    <w:rsid w:val="00DC7931"/>
    <w:rsid w:val="00DE373C"/>
    <w:rsid w:val="00E1468A"/>
    <w:rsid w:val="00E419F0"/>
    <w:rsid w:val="00E436AE"/>
    <w:rsid w:val="00E51BE4"/>
    <w:rsid w:val="00E54F30"/>
    <w:rsid w:val="00E637F4"/>
    <w:rsid w:val="00E66402"/>
    <w:rsid w:val="00E76800"/>
    <w:rsid w:val="00EE7EB8"/>
    <w:rsid w:val="00EF7F6D"/>
    <w:rsid w:val="00F11C62"/>
    <w:rsid w:val="00F177B1"/>
    <w:rsid w:val="00F32BB9"/>
    <w:rsid w:val="00F375F2"/>
    <w:rsid w:val="00F41E7F"/>
    <w:rsid w:val="00F423FA"/>
    <w:rsid w:val="00F860F4"/>
    <w:rsid w:val="00F912F3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1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6B"/>
  </w:style>
  <w:style w:type="paragraph" w:styleId="Footer">
    <w:name w:val="footer"/>
    <w:basedOn w:val="Normal"/>
    <w:link w:val="FooterChar"/>
    <w:uiPriority w:val="99"/>
    <w:unhideWhenUsed/>
    <w:rsid w:val="0026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6B"/>
  </w:style>
  <w:style w:type="paragraph" w:customStyle="1" w:styleId="Default">
    <w:name w:val="Default"/>
    <w:rsid w:val="002658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D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43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43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3A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E54F3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4F30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1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6B"/>
  </w:style>
  <w:style w:type="paragraph" w:styleId="Footer">
    <w:name w:val="footer"/>
    <w:basedOn w:val="Normal"/>
    <w:link w:val="FooterChar"/>
    <w:uiPriority w:val="99"/>
    <w:unhideWhenUsed/>
    <w:rsid w:val="0026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6B"/>
  </w:style>
  <w:style w:type="paragraph" w:customStyle="1" w:styleId="Default">
    <w:name w:val="Default"/>
    <w:rsid w:val="002658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D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43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43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3A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E54F3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4F30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4100-4C26-4D64-AF65-74161D9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E75257DC</Template>
  <TotalTime>6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</vt:lpstr>
    </vt:vector>
  </TitlesOfParts>
  <Company>DCC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</dc:title>
  <dc:creator>Chris Harris</dc:creator>
  <cp:lastModifiedBy>Gemma Hill</cp:lastModifiedBy>
  <cp:revision>6</cp:revision>
  <cp:lastPrinted>2012-10-05T12:17:00Z</cp:lastPrinted>
  <dcterms:created xsi:type="dcterms:W3CDTF">2019-07-31T12:33:00Z</dcterms:created>
  <dcterms:modified xsi:type="dcterms:W3CDTF">2019-08-02T13:34:00Z</dcterms:modified>
</cp:coreProperties>
</file>